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DB5008" w:rsidRPr="00DB5008" w:rsidTr="00B87E3D">
        <w:tc>
          <w:tcPr>
            <w:tcW w:w="4785" w:type="dxa"/>
          </w:tcPr>
          <w:p w:rsidR="009D0640" w:rsidRPr="009D0640" w:rsidRDefault="009D0640" w:rsidP="009D0640">
            <w:pPr>
              <w:wordWrap w:val="0"/>
              <w:autoSpaceDN w:val="0"/>
              <w:snapToGrid w:val="0"/>
              <w:spacing w:line="290" w:lineRule="atLeast"/>
              <w:jc w:val="center"/>
              <w:rPr>
                <w:rFonts w:ascii="한컴바탕" w:eastAsia="한컴바탕" w:hAnsi="한컴바탕" w:cs="한컴바탕"/>
                <w:b/>
                <w:sz w:val="26"/>
                <w:szCs w:val="26"/>
                <w:lang w:eastAsia="ko-KR"/>
              </w:rPr>
            </w:pPr>
            <w:r w:rsidRPr="009D0640">
              <w:rPr>
                <w:rFonts w:ascii="한컴바탕" w:eastAsia="한컴바탕" w:hAnsi="한컴바탕" w:cs="한컴바탕"/>
                <w:b/>
                <w:sz w:val="26"/>
                <w:szCs w:val="26"/>
                <w:lang w:eastAsia="ko-KR"/>
              </w:rPr>
              <w:t>자본계정 환전 관리 정책의 개혁 및</w:t>
            </w:r>
            <w:r>
              <w:rPr>
                <w:rFonts w:ascii="한컴바탕" w:eastAsia="한컴바탕" w:hAnsi="한컴바탕" w:cs="한컴바탕" w:hint="eastAsia"/>
                <w:b/>
                <w:sz w:val="26"/>
                <w:szCs w:val="26"/>
                <w:lang w:eastAsia="ko-KR"/>
              </w:rPr>
              <w:t xml:space="preserve"> </w:t>
            </w:r>
            <w:r w:rsidRPr="009D0640">
              <w:rPr>
                <w:rFonts w:ascii="한컴바탕" w:eastAsia="한컴바탕" w:hAnsi="한컴바탕" w:cs="한컴바탕"/>
                <w:b/>
                <w:sz w:val="26"/>
                <w:szCs w:val="26"/>
                <w:lang w:eastAsia="ko-KR"/>
              </w:rPr>
              <w:t>규범화에 관한 국가외환관리국의 통지</w:t>
            </w:r>
          </w:p>
          <w:p w:rsidR="009D0640" w:rsidRPr="009D0640" w:rsidRDefault="009D0640" w:rsidP="009D0640">
            <w:pPr>
              <w:wordWrap w:val="0"/>
              <w:autoSpaceDN w:val="0"/>
              <w:snapToGrid w:val="0"/>
              <w:spacing w:line="290" w:lineRule="atLeast"/>
              <w:jc w:val="center"/>
              <w:rPr>
                <w:rFonts w:ascii="한컴바탕" w:eastAsia="한컴바탕" w:hAnsi="한컴바탕" w:cs="한컴바탕"/>
                <w:spacing w:val="-6"/>
                <w:szCs w:val="21"/>
                <w:lang w:eastAsia="ko-KR"/>
              </w:rPr>
            </w:pPr>
            <w:r w:rsidRPr="009D0640">
              <w:rPr>
                <w:rFonts w:ascii="한컴바탕" w:eastAsia="한컴바탕" w:hAnsi="한컴바탕" w:cs="한컴바탕" w:hint="eastAsia"/>
                <w:spacing w:val="-6"/>
                <w:szCs w:val="21"/>
                <w:lang w:eastAsia="ko-KR"/>
              </w:rPr>
              <w:t>회발〔</w:t>
            </w:r>
            <w:r w:rsidRPr="009D0640">
              <w:rPr>
                <w:rFonts w:ascii="한컴바탕" w:eastAsia="한컴바탕" w:hAnsi="한컴바탕" w:cs="한컴바탕"/>
                <w:spacing w:val="-6"/>
                <w:szCs w:val="21"/>
                <w:lang w:eastAsia="ko-KR"/>
              </w:rPr>
              <w:t>2016〕16호</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hint="eastAsia"/>
                <w:spacing w:val="-6"/>
                <w:szCs w:val="21"/>
                <w:lang w:eastAsia="ko-KR"/>
              </w:rPr>
              <w:t>국가외환관리국</w:t>
            </w:r>
            <w:r w:rsidRPr="009D0640">
              <w:rPr>
                <w:rFonts w:ascii="한컴바탕" w:eastAsia="한컴바탕" w:hAnsi="한컴바탕" w:cs="한컴바탕"/>
                <w:spacing w:val="-6"/>
                <w:szCs w:val="21"/>
                <w:lang w:eastAsia="ko-KR"/>
              </w:rPr>
              <w:t xml:space="preserve"> 각 성•자치구•직할시 분국, 외환관리부, 선전(</w:t>
            </w:r>
            <w:r w:rsidRPr="009D0640">
              <w:rPr>
                <w:rFonts w:ascii="한컴바탕" w:eastAsia="한컴바탕" w:hAnsi="한컴바탕" w:cs="한컴바탕" w:hint="eastAsia"/>
                <w:spacing w:val="-6"/>
                <w:szCs w:val="21"/>
                <w:lang w:eastAsia="ko-KR"/>
              </w:rPr>
              <w:t>深圳</w:t>
            </w:r>
            <w:r w:rsidRPr="009D0640">
              <w:rPr>
                <w:rFonts w:ascii="한컴바탕" w:eastAsia="한컴바탕" w:hAnsi="한컴바탕" w:cs="한컴바탕"/>
                <w:spacing w:val="-6"/>
                <w:szCs w:val="21"/>
                <w:lang w:eastAsia="ko-KR"/>
              </w:rPr>
              <w:t>)•다롄(</w:t>
            </w:r>
            <w:r w:rsidRPr="009D0640">
              <w:rPr>
                <w:rFonts w:ascii="한컴바탕" w:eastAsia="한컴바탕" w:hAnsi="한컴바탕" w:cs="한컴바탕" w:hint="eastAsia"/>
                <w:spacing w:val="-6"/>
                <w:szCs w:val="21"/>
                <w:lang w:eastAsia="ko-KR"/>
              </w:rPr>
              <w:t>大連</w:t>
            </w:r>
            <w:r w:rsidRPr="009D0640">
              <w:rPr>
                <w:rFonts w:ascii="한컴바탕" w:eastAsia="한컴바탕" w:hAnsi="한컴바탕" w:cs="한컴바탕"/>
                <w:spacing w:val="-6"/>
                <w:szCs w:val="21"/>
                <w:lang w:eastAsia="ko-KR"/>
              </w:rPr>
              <w:t>)•칭다오(</w:t>
            </w:r>
            <w:r w:rsidRPr="009D0640">
              <w:rPr>
                <w:rFonts w:ascii="한컴바탕" w:eastAsia="한컴바탕" w:hAnsi="한컴바탕" w:cs="한컴바탕" w:hint="eastAsia"/>
                <w:spacing w:val="-6"/>
                <w:szCs w:val="21"/>
                <w:lang w:eastAsia="ko-KR"/>
              </w:rPr>
              <w:t>靑島</w:t>
            </w:r>
            <w:r w:rsidRPr="009D0640">
              <w:rPr>
                <w:rFonts w:ascii="한컴바탕" w:eastAsia="한컴바탕" w:hAnsi="한컴바탕" w:cs="한컴바탕"/>
                <w:spacing w:val="-6"/>
                <w:szCs w:val="21"/>
                <w:lang w:eastAsia="ko-KR"/>
              </w:rPr>
              <w:t>)•샤먼(</w:t>
            </w:r>
            <w:r w:rsidRPr="009D0640">
              <w:rPr>
                <w:rFonts w:ascii="한컴바탕" w:eastAsia="한컴바탕" w:hAnsi="한컴바탕" w:cs="한컴바탕" w:hint="eastAsia"/>
                <w:spacing w:val="-6"/>
                <w:szCs w:val="21"/>
                <w:lang w:eastAsia="ko-KR"/>
              </w:rPr>
              <w:t>厦門</w:t>
            </w:r>
            <w:r w:rsidRPr="009D0640">
              <w:rPr>
                <w:rFonts w:ascii="한컴바탕" w:eastAsia="한컴바탕" w:hAnsi="한컴바탕" w:cs="한컴바탕"/>
                <w:spacing w:val="-6"/>
                <w:szCs w:val="21"/>
                <w:lang w:eastAsia="ko-KR"/>
              </w:rPr>
              <w:t>)•닝보(</w:t>
            </w:r>
            <w:r w:rsidRPr="009D0640">
              <w:rPr>
                <w:rFonts w:ascii="한컴바탕" w:eastAsia="한컴바탕" w:hAnsi="한컴바탕" w:cs="한컴바탕" w:hint="eastAsia"/>
                <w:spacing w:val="-6"/>
                <w:szCs w:val="21"/>
                <w:lang w:eastAsia="ko-KR"/>
              </w:rPr>
              <w:t>寧波</w:t>
            </w:r>
            <w:r w:rsidRPr="009D0640">
              <w:rPr>
                <w:rFonts w:ascii="한컴바탕" w:eastAsia="한컴바탕" w:hAnsi="한컴바탕" w:cs="한컴바탕"/>
                <w:spacing w:val="-6"/>
                <w:szCs w:val="21"/>
                <w:lang w:eastAsia="ko-KR"/>
              </w:rPr>
              <w:t>) 분국, 각 중자(</w:t>
            </w:r>
            <w:r w:rsidRPr="009D0640">
              <w:rPr>
                <w:rFonts w:ascii="한컴바탕" w:eastAsia="한컴바탕" w:hAnsi="한컴바탕" w:cs="한컴바탕" w:hint="eastAsia"/>
                <w:spacing w:val="-6"/>
                <w:szCs w:val="21"/>
                <w:lang w:eastAsia="ko-KR"/>
              </w:rPr>
              <w:t>中資</w:t>
            </w:r>
            <w:r w:rsidRPr="009D0640">
              <w:rPr>
                <w:rFonts w:ascii="한컴바탕" w:eastAsia="한컴바탕" w:hAnsi="한컴바탕" w:cs="한컴바탕"/>
                <w:spacing w:val="-6"/>
                <w:szCs w:val="21"/>
                <w:lang w:eastAsia="ko-KR"/>
              </w:rPr>
              <w:t>)외환지정은행 :</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8"/>
                <w:szCs w:val="21"/>
                <w:lang w:eastAsia="ko-KR"/>
              </w:rPr>
            </w:pPr>
            <w:r w:rsidRPr="009D0640">
              <w:rPr>
                <w:rFonts w:ascii="한컴바탕" w:eastAsia="한컴바탕" w:hAnsi="한컴바탕" w:cs="한컴바탕" w:hint="eastAsia"/>
                <w:spacing w:val="-8"/>
                <w:szCs w:val="21"/>
                <w:lang w:eastAsia="ko-KR"/>
              </w:rPr>
              <w:t>외환관리체제</w:t>
            </w:r>
            <w:r w:rsidRPr="009D0640">
              <w:rPr>
                <w:rFonts w:ascii="한컴바탕" w:eastAsia="한컴바탕" w:hAnsi="한컴바탕" w:cs="한컴바탕"/>
                <w:spacing w:val="-8"/>
                <w:szCs w:val="21"/>
                <w:lang w:eastAsia="ko-KR"/>
              </w:rPr>
              <w:t xml:space="preserve"> 개혁을 진일보 심화하고 경내 기업들의 경영과 자금운영 수요를 만족시키기 위하여 국가외환관리국은 일전에 일부 지역에서 추진한 시범 사업의 경험을 토대로 전국 범위 내에서 기업 외채자금 환전 관리 방식에 대한 개혁을 추진하고 자본계정 외화수입의 자유환전 및 지급에 대한 관리를 통일적으로 규범하기로 결정하였다. 이에 관련 문제에 대하여 다음과 같이 통지하는 바이다.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spacing w:val="-6"/>
                <w:szCs w:val="21"/>
                <w:lang w:eastAsia="ko-KR"/>
              </w:rPr>
              <w:t>1.</w:t>
            </w:r>
            <w:r>
              <w:rPr>
                <w:rFonts w:ascii="한컴바탕" w:eastAsia="한컴바탕" w:hAnsi="한컴바탕" w:cs="한컴바탕"/>
                <w:spacing w:val="-6"/>
                <w:szCs w:val="21"/>
                <w:lang w:eastAsia="ko-KR"/>
              </w:rPr>
              <w:t xml:space="preserve"> </w:t>
            </w:r>
            <w:r w:rsidRPr="009D0640">
              <w:rPr>
                <w:rFonts w:ascii="한컴바탕" w:eastAsia="한컴바탕" w:hAnsi="한컴바탕" w:cs="한컴바탕"/>
                <w:spacing w:val="-6"/>
                <w:szCs w:val="21"/>
                <w:lang w:eastAsia="ko-KR"/>
              </w:rPr>
              <w:t>전국 범위 내에서 기업 외채자금 환전 관리 방식에 대한 개혁을 실시한다.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hint="eastAsia"/>
                <w:spacing w:val="-6"/>
                <w:szCs w:val="21"/>
                <w:lang w:eastAsia="ko-KR"/>
              </w:rPr>
              <w:t>중국</w:t>
            </w:r>
            <w:r w:rsidRPr="009D0640">
              <w:rPr>
                <w:rFonts w:ascii="한컴바탕" w:eastAsia="한컴바탕" w:hAnsi="한컴바탕" w:cs="한컴바탕"/>
                <w:spacing w:val="-6"/>
                <w:szCs w:val="21"/>
                <w:lang w:eastAsia="ko-KR"/>
              </w:rPr>
              <w:t>(상하이)자유무역시범구, 중국(톈진)자유무역시범구, 중국(광둥)자유무역시범구, 중국(푸젠)자유무역시범구의 관련 시범 경험을 토대로 기업 외채자금 환전 관리 방식 개혁 시범사업의 범위를 전국으로 확대한다. 이 통지 시행일로부터 경내 기업(중자(</w:t>
            </w:r>
            <w:r w:rsidRPr="009D0640">
              <w:rPr>
                <w:rFonts w:ascii="한컴바탕" w:eastAsia="한컴바탕" w:hAnsi="한컴바탕" w:cs="한컴바탕" w:hint="eastAsia"/>
                <w:spacing w:val="-6"/>
                <w:szCs w:val="21"/>
                <w:lang w:eastAsia="ko-KR"/>
              </w:rPr>
              <w:t>中資</w:t>
            </w:r>
            <w:r w:rsidRPr="009D0640">
              <w:rPr>
                <w:rFonts w:ascii="한컴바탕" w:eastAsia="한컴바탕" w:hAnsi="한컴바탕" w:cs="한컴바탕"/>
                <w:spacing w:val="-6"/>
                <w:szCs w:val="21"/>
                <w:lang w:eastAsia="ko-KR"/>
              </w:rPr>
              <w:t>)기업과 외국인투자기업을 포함하며 금융기구는 포함하지 아니함)의 외채자금은 모두 자유환전 방식으로 환전 수속을 처리할 수 있다.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Pr>
                <w:rFonts w:ascii="한컴바탕" w:eastAsia="한컴바탕" w:hAnsi="한컴바탕" w:cs="한컴바탕"/>
                <w:spacing w:val="-6"/>
                <w:szCs w:val="21"/>
                <w:lang w:eastAsia="ko-KR"/>
              </w:rPr>
              <w:t>2.</w:t>
            </w:r>
            <w:r>
              <w:rPr>
                <w:rFonts w:ascii="한컴바탕" w:eastAsia="한컴바탕" w:hAnsi="한컴바탕" w:cs="한컴바탕" w:hint="eastAsia"/>
                <w:spacing w:val="-6"/>
                <w:szCs w:val="21"/>
                <w:lang w:eastAsia="ko-KR"/>
              </w:rPr>
              <w:t xml:space="preserve"> </w:t>
            </w:r>
            <w:r w:rsidRPr="009D0640">
              <w:rPr>
                <w:rFonts w:ascii="한컴바탕" w:eastAsia="한컴바탕" w:hAnsi="한컴바탕" w:cs="한컴바탕"/>
                <w:spacing w:val="-6"/>
                <w:szCs w:val="21"/>
                <w:lang w:eastAsia="ko-KR"/>
              </w:rPr>
              <w:t>경내 기구의 자본계정 외화수입 자유환전 정책을 통일화 한다.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zCs w:val="21"/>
                <w:lang w:eastAsia="ko-KR"/>
              </w:rPr>
            </w:pPr>
            <w:r w:rsidRPr="009D0640">
              <w:rPr>
                <w:rFonts w:ascii="한컴바탕" w:eastAsia="한컴바탕" w:hAnsi="한컴바탕" w:cs="한컴바탕" w:hint="eastAsia"/>
                <w:szCs w:val="21"/>
                <w:lang w:eastAsia="ko-KR"/>
              </w:rPr>
              <w:t>자본계정</w:t>
            </w:r>
            <w:r w:rsidRPr="009D0640">
              <w:rPr>
                <w:rFonts w:ascii="한컴바탕" w:eastAsia="한컴바탕" w:hAnsi="한컴바탕" w:cs="한컴바탕"/>
                <w:szCs w:val="21"/>
                <w:lang w:eastAsia="ko-KR"/>
              </w:rPr>
              <w:t xml:space="preserve"> 외화수입의 자유환전이라 함은 관련 정책에 자유환전제를 실시한다고 명확히 규정한 자본계정 외화수입(외화자본금, 외채자금과 해외상장반입자금 등을 포함)에 대하여 경내 기구의 실제 경영 수요에 근거하여 은행에서 환전할 수 있는 것을 지칭한다.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hint="eastAsia"/>
                <w:spacing w:val="-6"/>
                <w:szCs w:val="21"/>
                <w:lang w:eastAsia="ko-KR"/>
              </w:rPr>
              <w:t>경내</w:t>
            </w:r>
            <w:r w:rsidRPr="009D0640">
              <w:rPr>
                <w:rFonts w:ascii="한컴바탕" w:eastAsia="한컴바탕" w:hAnsi="한컴바탕" w:cs="한컴바탕"/>
                <w:spacing w:val="-6"/>
                <w:szCs w:val="21"/>
                <w:lang w:eastAsia="ko-KR"/>
              </w:rPr>
              <w:t xml:space="preserve"> 기구의 자본계정 자유환전 비율은 100%로 잠정한다. 국가외환관리국은 국제 수지 형세에 근거하여 적절한 시기에 상기 비율을 조정할 수 있다.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hint="eastAsia"/>
                <w:spacing w:val="-6"/>
                <w:szCs w:val="21"/>
                <w:lang w:eastAsia="ko-KR"/>
              </w:rPr>
              <w:t>자본계정</w:t>
            </w:r>
            <w:r w:rsidRPr="009D0640">
              <w:rPr>
                <w:rFonts w:ascii="한컴바탕" w:eastAsia="한컴바탕" w:hAnsi="한컴바탕" w:cs="한컴바탕"/>
                <w:spacing w:val="-6"/>
                <w:szCs w:val="21"/>
                <w:lang w:eastAsia="ko-KR"/>
              </w:rPr>
              <w:t xml:space="preserve"> 외화수입의 자유환전을 실시함과 더불어 경내 기구는 여전히 지급환전제도(</w:t>
            </w:r>
            <w:r w:rsidRPr="009D0640">
              <w:rPr>
                <w:rFonts w:ascii="한컴바탕" w:eastAsia="한컴바탕" w:hAnsi="한컴바탕" w:cs="한컴바탕" w:hint="eastAsia"/>
                <w:spacing w:val="-6"/>
                <w:szCs w:val="21"/>
                <w:lang w:eastAsia="ko-KR"/>
              </w:rPr>
              <w:t>支付結匯制度</w:t>
            </w:r>
            <w:r w:rsidRPr="009D0640">
              <w:rPr>
                <w:rFonts w:ascii="한컴바탕" w:eastAsia="한컴바탕" w:hAnsi="한컴바탕" w:cs="한컴바탕"/>
                <w:spacing w:val="-6"/>
                <w:szCs w:val="21"/>
                <w:lang w:eastAsia="ko-KR"/>
              </w:rPr>
              <w:t>)에 따라 외화수입을 사용 할 수 있다. 은행은 지급</w:t>
            </w:r>
            <w:r w:rsidRPr="009D0640">
              <w:rPr>
                <w:rFonts w:ascii="한컴바탕" w:eastAsia="한컴바탕" w:hAnsi="한컴바탕" w:cs="한컴바탕"/>
                <w:spacing w:val="-6"/>
                <w:szCs w:val="21"/>
                <w:lang w:eastAsia="ko-KR"/>
              </w:rPr>
              <w:lastRenderedPageBreak/>
              <w:t>환전의 윈칙에 근거하여 경내 기구의 환전 업무를 처리함에 있어 매번마다 경내 기구의 직전 환전(자유환전 및 지급환전 포함) 건의 자금 사용의 진실성과 준법성을 심사하여야 한다.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16"/>
                <w:szCs w:val="21"/>
                <w:lang w:eastAsia="ko-KR"/>
              </w:rPr>
            </w:pPr>
            <w:r w:rsidRPr="009D0640">
              <w:rPr>
                <w:rFonts w:ascii="한컴바탕" w:eastAsia="한컴바탕" w:hAnsi="한컴바탕" w:cs="한컴바탕" w:hint="eastAsia"/>
                <w:spacing w:val="-16"/>
                <w:szCs w:val="21"/>
                <w:lang w:eastAsia="ko-KR"/>
              </w:rPr>
              <w:t>경내</w:t>
            </w:r>
            <w:r w:rsidRPr="009D0640">
              <w:rPr>
                <w:rFonts w:ascii="한컴바탕" w:eastAsia="한컴바탕" w:hAnsi="한컴바탕" w:cs="한컴바탕"/>
                <w:spacing w:val="-16"/>
                <w:szCs w:val="21"/>
                <w:lang w:eastAsia="ko-KR"/>
              </w:rPr>
              <w:t xml:space="preserve"> 기구 외화수입의 기존 외화 상태의 경내 이체와 국제 대외 지급은 현행 외환관리 규정에 따라 처리한다.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Pr>
                <w:rFonts w:ascii="한컴바탕" w:eastAsia="한컴바탕" w:hAnsi="한컴바탕" w:cs="한컴바탕"/>
                <w:spacing w:val="-6"/>
                <w:szCs w:val="21"/>
                <w:lang w:eastAsia="ko-KR"/>
              </w:rPr>
              <w:t>3.</w:t>
            </w:r>
            <w:r>
              <w:rPr>
                <w:rFonts w:ascii="한컴바탕" w:eastAsia="한컴바탕" w:hAnsi="한컴바탕" w:cs="한컴바탕" w:hint="eastAsia"/>
                <w:spacing w:val="-6"/>
                <w:szCs w:val="21"/>
                <w:lang w:eastAsia="ko-KR"/>
              </w:rPr>
              <w:t xml:space="preserve"> </w:t>
            </w:r>
            <w:r w:rsidRPr="009D0640">
              <w:rPr>
                <w:rFonts w:ascii="한컴바탕" w:eastAsia="한컴바탕" w:hAnsi="한컴바탕" w:cs="한컴바탕"/>
                <w:spacing w:val="-6"/>
                <w:szCs w:val="21"/>
                <w:lang w:eastAsia="ko-KR"/>
              </w:rPr>
              <w:t xml:space="preserve">경내 기구의 자본계정 외화수입 자유환전을 통해 취득한 위안화 자금은 환전지급대기계좌에 예치하여 관리한다. </w:t>
            </w:r>
          </w:p>
          <w:p w:rsidR="009D0640" w:rsidRPr="009D0640" w:rsidRDefault="009D0640" w:rsidP="009D0640">
            <w:pPr>
              <w:wordWrap w:val="0"/>
              <w:autoSpaceDN w:val="0"/>
              <w:snapToGrid w:val="0"/>
              <w:spacing w:line="290" w:lineRule="atLeast"/>
              <w:jc w:val="left"/>
              <w:rPr>
                <w:rFonts w:ascii="한컴바탕" w:eastAsia="한컴바탕" w:hAnsi="한컴바탕" w:cs="한컴바탕"/>
                <w:szCs w:val="21"/>
                <w:lang w:eastAsia="ko-KR"/>
              </w:rPr>
            </w:pPr>
            <w:r w:rsidRPr="009D0640">
              <w:rPr>
                <w:rFonts w:ascii="한컴바탕" w:eastAsia="한컴바탕" w:hAnsi="한컴바탕" w:cs="한컴바탕" w:hint="eastAsia"/>
                <w:szCs w:val="21"/>
                <w:lang w:eastAsia="ko-KR"/>
              </w:rPr>
              <w:t>경내</w:t>
            </w:r>
            <w:r w:rsidRPr="009D0640">
              <w:rPr>
                <w:rFonts w:ascii="한컴바탕" w:eastAsia="한컴바탕" w:hAnsi="한컴바탕" w:cs="한컴바탕"/>
                <w:szCs w:val="21"/>
                <w:lang w:eastAsia="ko-KR"/>
              </w:rPr>
              <w:t xml:space="preserve"> 기구는 원칙 상 은행에서 일대일로 대응되는 '지본계정-환전지급대기계좌'(이하 '환전지급대기계좌'로 약칭함)를 개설하여 자본계정 외화수입 자유환전을 통해 취득한 위안화 자금을 예치하여야 한다. 경내 기구가 동일 은행 지점에서 개설한 동명(</w:t>
            </w:r>
            <w:r w:rsidRPr="009D0640">
              <w:rPr>
                <w:rFonts w:ascii="한컴바탕" w:eastAsia="한컴바탕" w:hAnsi="한컴바탕" w:cs="한컴바탕" w:hint="eastAsia"/>
                <w:szCs w:val="21"/>
                <w:lang w:eastAsia="ko-KR"/>
              </w:rPr>
              <w:t>同名</w:t>
            </w:r>
            <w:r w:rsidRPr="009D0640">
              <w:rPr>
                <w:rFonts w:ascii="한컴바탕" w:eastAsia="한컴바탕" w:hAnsi="한컴바탕" w:cs="한컴바탕"/>
                <w:szCs w:val="21"/>
                <w:lang w:eastAsia="ko-KR"/>
              </w:rPr>
              <w:t>)의 자본금 계좌, 경내 자산 현금화 계좌, 경내 재투자 계좌, 외채 전용 계좌, 해외상장 전용 계좌 및 규정에 부합되는 기타 유형의 자본계정 계좌는 동일 환전지급대기계좌를 공동사용할 수 있다. 경내 기구가 지급환</w:t>
            </w:r>
            <w:r w:rsidRPr="009D0640">
              <w:rPr>
                <w:rFonts w:ascii="한컴바탕" w:eastAsia="한컴바탕" w:hAnsi="한컴바탕" w:cs="한컴바탕" w:hint="eastAsia"/>
                <w:szCs w:val="21"/>
                <w:lang w:eastAsia="ko-KR"/>
              </w:rPr>
              <w:t>전</w:t>
            </w:r>
            <w:r w:rsidRPr="009D0640">
              <w:rPr>
                <w:rFonts w:ascii="한컴바탕" w:eastAsia="한컴바탕" w:hAnsi="한컴바탕" w:cs="한컴바탕"/>
                <w:szCs w:val="21"/>
                <w:lang w:eastAsia="ko-KR"/>
              </w:rPr>
              <w:t xml:space="preserve"> 원칙에 근거하여 취득한 위안화 자금의 경우 환전지급대기계좌를 통해 지급하여서는 아니된다.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hint="eastAsia"/>
                <w:spacing w:val="-6"/>
                <w:szCs w:val="21"/>
                <w:lang w:eastAsia="ko-KR"/>
              </w:rPr>
              <w:t>환전지급대기계좌의</w:t>
            </w:r>
            <w:r w:rsidRPr="009D0640">
              <w:rPr>
                <w:rFonts w:ascii="한컴바탕" w:eastAsia="한컴바탕" w:hAnsi="한컴바탕" w:cs="한컴바탕"/>
                <w:spacing w:val="-6"/>
                <w:szCs w:val="21"/>
                <w:lang w:eastAsia="ko-KR"/>
              </w:rPr>
              <w:t xml:space="preserve"> 수입 범위는 다음과 같다 : 동명 또는 경내 지분투자를 실시한 기업의 자본금 계좌, 경내 자산 현금화 계좌, 경내 재투자 계좌, 외채 전용 계좌, 해외상장 전용 계좌 및 규정에 부합되는 기타 유형의 자본계정 외화계좌에서 환전하여 입금되는 자금, 동명 또는 경내 지분투자를 실시한 기업의 환전지급대기계좌로부터 입금되는 자금, 해당 계좌에서 적법하게 인출되었다가 다시 입금되는 자금, 거래 취소에 따라 반납되는 자금, 규정에 부합되는 위안화 수</w:t>
            </w:r>
            <w:r w:rsidRPr="009D0640">
              <w:rPr>
                <w:rFonts w:ascii="한컴바탕" w:eastAsia="한컴바탕" w:hAnsi="한컴바탕" w:cs="한컴바탕" w:hint="eastAsia"/>
                <w:spacing w:val="-6"/>
                <w:szCs w:val="21"/>
                <w:lang w:eastAsia="ko-KR"/>
              </w:rPr>
              <w:t>입</w:t>
            </w:r>
            <w:r w:rsidRPr="009D0640">
              <w:rPr>
                <w:rFonts w:ascii="한컴바탕" w:eastAsia="한컴바탕" w:hAnsi="한컴바탕" w:cs="한컴바탕"/>
                <w:spacing w:val="-6"/>
                <w:szCs w:val="21"/>
                <w:lang w:eastAsia="ko-KR"/>
              </w:rPr>
              <w:t>, 계좌 이자 수입 및 외환관리국(은행) 등기절차 또는 외환관리국의 승인절차 거친 기타 수입.</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hint="eastAsia"/>
                <w:spacing w:val="-6"/>
                <w:szCs w:val="21"/>
                <w:lang w:eastAsia="ko-KR"/>
              </w:rPr>
              <w:t>환전지급대기계좌의</w:t>
            </w:r>
            <w:r w:rsidRPr="009D0640">
              <w:rPr>
                <w:rFonts w:ascii="한컴바탕" w:eastAsia="한컴바탕" w:hAnsi="한컴바탕" w:cs="한컴바탕"/>
                <w:spacing w:val="-6"/>
                <w:szCs w:val="21"/>
                <w:lang w:eastAsia="ko-KR"/>
              </w:rPr>
              <w:t xml:space="preserve"> 지출 범위는 다음과 같다 : 경영범위 내의 지출, 경내 지분투자 자금 및 위안화 보증금의 지출, 자금집중관리 전용 계좌 및 동명의 환전지급대기계좌로의 이체, 외국환 매입•지급 또는 직접적인 외채 상환, 원금 상환 및 이자 지급 전용 계좌로의 이체, 경외 지분 회수 또는 해외상장과 관련한 기타 지출을 위한 외국환 매입•지급 또는 직접적인 대외 지급, 외국투자자의 자본금 감소 및 투자 철수를 위한 외국환 매입•지급 또는 직접적인 대외 지급, 경외 기구가 발생시킨 세금의 원천징수•납부, 경내 국유주주 국유지분 </w:t>
            </w:r>
            <w:r w:rsidRPr="009D0640">
              <w:rPr>
                <w:rFonts w:ascii="한컴바탕" w:eastAsia="한컴바탕" w:hAnsi="한컴바탕" w:cs="한컴바탕"/>
                <w:spacing w:val="-6"/>
                <w:szCs w:val="21"/>
                <w:lang w:eastAsia="ko-KR"/>
              </w:rPr>
              <w:lastRenderedPageBreak/>
              <w:t>양도 수입의 사회보장기금으로의 이체, 경상계정 지출 및 외환관리국(은행)의 등기절차 또는 외환관리국의 승인절차를 거친 기타 자본계정 지출을 위한 외국환 매입•지급 또는 직접적인 대외 지급.</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hint="eastAsia"/>
                <w:spacing w:val="-6"/>
                <w:szCs w:val="21"/>
                <w:lang w:eastAsia="ko-KR"/>
              </w:rPr>
              <w:t>환전지급대기계좌</w:t>
            </w:r>
            <w:r w:rsidRPr="009D0640">
              <w:rPr>
                <w:rFonts w:ascii="한컴바탕" w:eastAsia="한컴바탕" w:hAnsi="한컴바탕" w:cs="한컴바탕"/>
                <w:spacing w:val="-6"/>
                <w:szCs w:val="21"/>
                <w:lang w:eastAsia="ko-KR"/>
              </w:rPr>
              <w:t xml:space="preserve"> 내의 위안화 자금으로 외국환을 매입하여 자본계정 외환계좌로 이체하여서는 아니된다. 환전지급대기계좌에서 인출되어 담보 또는 기타 보증금의 지급에 사용되는 위안화 자금은 담보 이행 또는 위약으로 인한 비용을 공제하는 경우를 제외하고 전부 원래 경로대로 환전지급대기계좌로 입금하여야 한다.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Pr>
                <w:rFonts w:ascii="한컴바탕" w:eastAsia="한컴바탕" w:hAnsi="한컴바탕" w:cs="한컴바탕"/>
                <w:spacing w:val="-6"/>
                <w:szCs w:val="21"/>
                <w:lang w:eastAsia="ko-KR"/>
              </w:rPr>
              <w:t>4.</w:t>
            </w:r>
            <w:r>
              <w:rPr>
                <w:rFonts w:ascii="한컴바탕" w:eastAsia="한컴바탕" w:hAnsi="한컴바탕" w:cs="한컴바탕" w:hint="eastAsia"/>
                <w:spacing w:val="-6"/>
                <w:szCs w:val="21"/>
                <w:lang w:eastAsia="ko-KR"/>
              </w:rPr>
              <w:t xml:space="preserve"> </w:t>
            </w:r>
            <w:r w:rsidRPr="009D0640">
              <w:rPr>
                <w:rFonts w:ascii="한컴바탕" w:eastAsia="한컴바탕" w:hAnsi="한컴바탕" w:cs="한컴바탕"/>
                <w:spacing w:val="-6"/>
                <w:szCs w:val="21"/>
                <w:lang w:eastAsia="ko-KR"/>
              </w:rPr>
              <w:t>경내 기구의 자본계정 외화수입 사용은 경영범위 내에서 진실 및 자용(</w:t>
            </w:r>
            <w:r w:rsidRPr="009D0640">
              <w:rPr>
                <w:rFonts w:ascii="한컴바탕" w:eastAsia="한컴바탕" w:hAnsi="한컴바탕" w:cs="한컴바탕" w:hint="eastAsia"/>
                <w:spacing w:val="-6"/>
                <w:szCs w:val="21"/>
                <w:lang w:eastAsia="ko-KR"/>
              </w:rPr>
              <w:t>自用</w:t>
            </w:r>
            <w:r w:rsidRPr="009D0640">
              <w:rPr>
                <w:rFonts w:ascii="한컴바탕" w:eastAsia="한컴바탕" w:hAnsi="한컴바탕" w:cs="한컴바탕"/>
                <w:spacing w:val="-6"/>
                <w:szCs w:val="21"/>
                <w:lang w:eastAsia="ko-KR"/>
              </w:rPr>
              <w:t>) 원칙 준수하에 이루어져야 한다.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hint="eastAsia"/>
                <w:spacing w:val="-6"/>
                <w:szCs w:val="21"/>
                <w:lang w:eastAsia="ko-KR"/>
              </w:rPr>
              <w:t>경내</w:t>
            </w:r>
            <w:r w:rsidRPr="009D0640">
              <w:rPr>
                <w:rFonts w:ascii="한컴바탕" w:eastAsia="한컴바탕" w:hAnsi="한컴바탕" w:cs="한컴바탕"/>
                <w:spacing w:val="-6"/>
                <w:szCs w:val="21"/>
                <w:lang w:eastAsia="ko-KR"/>
              </w:rPr>
              <w:t xml:space="preserve"> 기구의 자본계정 외화수입 및 자본계정 외화수입의 환전을 통해 취득한 위안화 자금은 자체 경영범위 내의 경상계정 지출 및 법률•법규가 허용하는 자본계정 지출에 사용할 수 있다.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hint="eastAsia"/>
                <w:spacing w:val="-6"/>
                <w:szCs w:val="21"/>
                <w:lang w:eastAsia="ko-KR"/>
              </w:rPr>
              <w:t>경내</w:t>
            </w:r>
            <w:r w:rsidRPr="009D0640">
              <w:rPr>
                <w:rFonts w:ascii="한컴바탕" w:eastAsia="한컴바탕" w:hAnsi="한컴바탕" w:cs="한컴바탕"/>
                <w:spacing w:val="-6"/>
                <w:szCs w:val="21"/>
                <w:lang w:eastAsia="ko-KR"/>
              </w:rPr>
              <w:t xml:space="preserve"> 기구의 자본계정 외화수입 및 자본계정 외화수입의 환전을 통해 취득한 위안화 자금의 사용은 이하 규정의 준수하에 이루어져야 한다.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spacing w:val="-6"/>
                <w:szCs w:val="21"/>
                <w:lang w:eastAsia="ko-KR"/>
              </w:rPr>
              <w:t>(1)</w:t>
            </w:r>
            <w:r w:rsidRPr="009D0640">
              <w:rPr>
                <w:rFonts w:ascii="한컴바탕" w:eastAsia="한컴바탕" w:hAnsi="한컴바탕" w:cs="한컴바탕"/>
                <w:spacing w:val="-6"/>
                <w:szCs w:val="21"/>
                <w:lang w:eastAsia="ko-KR"/>
              </w:rPr>
              <w:tab/>
              <w:t>기업의 경영범위를 벗어나거나 국가의 법률•법규가 금지하는 지출에 직간접적으로 사용되서는 아니된다.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spacing w:val="-6"/>
                <w:szCs w:val="21"/>
                <w:lang w:eastAsia="ko-KR"/>
              </w:rPr>
              <w:t>(2)</w:t>
            </w:r>
            <w:r w:rsidRPr="009D0640">
              <w:rPr>
                <w:rFonts w:ascii="한컴바탕" w:eastAsia="한컴바탕" w:hAnsi="한컴바탕" w:cs="한컴바탕"/>
                <w:spacing w:val="-6"/>
                <w:szCs w:val="21"/>
                <w:lang w:eastAsia="ko-KR"/>
              </w:rPr>
              <w:tab/>
              <w:t>명확한 규정이 있는 경우를 제외하고 증권 투자 또는 은행의 원금보장형 제품 이외의 기타 투자, 자산관리에 직간접적으로 사용되서는 아니된다.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spacing w:val="-6"/>
                <w:szCs w:val="21"/>
                <w:lang w:eastAsia="ko-KR"/>
              </w:rPr>
              <w:t>(3)</w:t>
            </w:r>
            <w:r w:rsidRPr="009D0640">
              <w:rPr>
                <w:rFonts w:ascii="한컴바탕" w:eastAsia="한컴바탕" w:hAnsi="한컴바탕" w:cs="한컴바탕"/>
                <w:spacing w:val="-6"/>
                <w:szCs w:val="21"/>
                <w:lang w:eastAsia="ko-KR"/>
              </w:rPr>
              <w:tab/>
              <w:t>경영범위에 명확하게 허가된 경우를 제외하고 비(</w:t>
            </w:r>
            <w:r w:rsidRPr="009D0640">
              <w:rPr>
                <w:rFonts w:ascii="한컴바탕" w:eastAsia="한컴바탕" w:hAnsi="한컴바탕" w:cs="한컴바탕" w:hint="eastAsia"/>
                <w:spacing w:val="-6"/>
                <w:szCs w:val="21"/>
                <w:lang w:eastAsia="ko-KR"/>
              </w:rPr>
              <w:t>非</w:t>
            </w:r>
            <w:r w:rsidRPr="009D0640">
              <w:rPr>
                <w:rFonts w:ascii="한컴바탕" w:eastAsia="한컴바탕" w:hAnsi="한컴바탕" w:cs="한컴바탕"/>
                <w:spacing w:val="-6"/>
                <w:szCs w:val="21"/>
                <w:lang w:eastAsia="ko-KR"/>
              </w:rPr>
              <w:t>) 관계회사에 대한 대출에 사용되서는 아니된다.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spacing w:val="-6"/>
                <w:szCs w:val="21"/>
                <w:lang w:eastAsia="ko-KR"/>
              </w:rPr>
              <w:t>(4)</w:t>
            </w:r>
            <w:r w:rsidRPr="009D0640">
              <w:rPr>
                <w:rFonts w:ascii="한컴바탕" w:eastAsia="한컴바탕" w:hAnsi="한컴바탕" w:cs="한컴바탕"/>
                <w:spacing w:val="-6"/>
                <w:szCs w:val="21"/>
                <w:lang w:eastAsia="ko-KR"/>
              </w:rPr>
              <w:tab/>
              <w:t>자용(</w:t>
            </w:r>
            <w:r w:rsidRPr="009D0640">
              <w:rPr>
                <w:rFonts w:ascii="한컴바탕" w:eastAsia="한컴바탕" w:hAnsi="한컴바탕" w:cs="한컴바탕" w:hint="eastAsia"/>
                <w:spacing w:val="-6"/>
                <w:szCs w:val="21"/>
                <w:lang w:eastAsia="ko-KR"/>
              </w:rPr>
              <w:t>自用</w:t>
            </w:r>
            <w:r w:rsidRPr="009D0640">
              <w:rPr>
                <w:rFonts w:ascii="한컴바탕" w:eastAsia="한컴바탕" w:hAnsi="한컴바탕" w:cs="한컴바탕"/>
                <w:spacing w:val="-6"/>
                <w:szCs w:val="21"/>
                <w:lang w:eastAsia="ko-KR"/>
              </w:rPr>
              <w:t>) 부동산의 건설, 구매에 사용되서는 아니된다(부동산기업 제외).</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hint="eastAsia"/>
                <w:spacing w:val="-6"/>
                <w:szCs w:val="21"/>
                <w:lang w:eastAsia="ko-KR"/>
              </w:rPr>
              <w:t>경내</w:t>
            </w:r>
            <w:r w:rsidRPr="009D0640">
              <w:rPr>
                <w:rFonts w:ascii="한컴바탕" w:eastAsia="한컴바탕" w:hAnsi="한컴바탕" w:cs="한컴바탕"/>
                <w:spacing w:val="-6"/>
                <w:szCs w:val="21"/>
                <w:lang w:eastAsia="ko-KR"/>
              </w:rPr>
              <w:t xml:space="preserve"> 기구와 기타 당사자 간에 자본계정 수입의 사용 범위를 약정한 계약이 존재하는 경우 관련 자금을 사용함에 있어 해당 계약상에 약정한 범위를 벗어나서는 아니된다. 별도의 규정이 있는 경우를 제외하고 경내 기구와 기타 당사자 간의 계약 약정이 이 통지와 충돌되어서는 아니된다.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spacing w:val="-6"/>
                <w:szCs w:val="21"/>
                <w:lang w:eastAsia="ko-KR"/>
              </w:rPr>
              <w:t>5.</w:t>
            </w:r>
            <w:r w:rsidRPr="009D0640">
              <w:rPr>
                <w:rFonts w:ascii="한컴바탕" w:eastAsia="한컴바탕" w:hAnsi="한컴바탕" w:cs="한컴바탕"/>
                <w:spacing w:val="-6"/>
                <w:szCs w:val="21"/>
                <w:lang w:eastAsia="ko-KR"/>
              </w:rPr>
              <w:tab/>
              <w:t>자본계정 수입 및 그 환전 자금의 지급 관리</w:t>
            </w:r>
          </w:p>
          <w:p w:rsidR="009D0640" w:rsidRPr="009D0640" w:rsidRDefault="003C1E6E" w:rsidP="009D0640">
            <w:pPr>
              <w:wordWrap w:val="0"/>
              <w:autoSpaceDN w:val="0"/>
              <w:snapToGrid w:val="0"/>
              <w:spacing w:line="290" w:lineRule="atLeast"/>
              <w:jc w:val="left"/>
              <w:rPr>
                <w:rFonts w:ascii="한컴바탕" w:eastAsia="한컴바탕" w:hAnsi="한컴바탕" w:cs="한컴바탕"/>
                <w:spacing w:val="-6"/>
                <w:szCs w:val="21"/>
                <w:lang w:eastAsia="ko-KR"/>
              </w:rPr>
            </w:pPr>
            <w:r>
              <w:rPr>
                <w:rFonts w:ascii="한컴바탕" w:eastAsia="한컴바탕" w:hAnsi="한컴바탕" w:cs="한컴바탕"/>
                <w:spacing w:val="-6"/>
                <w:szCs w:val="21"/>
                <w:lang w:eastAsia="ko-KR"/>
              </w:rPr>
              <w:t>(1)</w:t>
            </w:r>
            <w:r>
              <w:rPr>
                <w:rFonts w:ascii="한컴바탕" w:eastAsia="한컴바탕" w:hAnsi="한컴바탕" w:cs="한컴바탕" w:hint="eastAsia"/>
                <w:spacing w:val="-6"/>
                <w:szCs w:val="21"/>
                <w:lang w:eastAsia="ko-KR"/>
              </w:rPr>
              <w:t xml:space="preserve"> </w:t>
            </w:r>
            <w:r w:rsidR="009D0640" w:rsidRPr="009D0640">
              <w:rPr>
                <w:rFonts w:ascii="한컴바탕" w:eastAsia="한컴바탕" w:hAnsi="한컴바탕" w:cs="한컴바탕"/>
                <w:spacing w:val="-6"/>
                <w:szCs w:val="21"/>
                <w:lang w:eastAsia="ko-KR"/>
              </w:rPr>
              <w:t>경내 기구는 자본계정 수입의 환전 및 지급 수속 처리 시 &lt;자본계정 계좌 자금 지급 명령서&gt;(첨부 참조)를 작성하여야 한다. 환전을 통해 취</w:t>
            </w:r>
            <w:r w:rsidR="009D0640" w:rsidRPr="009D0640">
              <w:rPr>
                <w:rFonts w:ascii="한컴바탕" w:eastAsia="한컴바탕" w:hAnsi="한컴바탕" w:cs="한컴바탕"/>
                <w:spacing w:val="-6"/>
                <w:szCs w:val="21"/>
                <w:lang w:eastAsia="ko-KR"/>
              </w:rPr>
              <w:lastRenderedPageBreak/>
              <w:t xml:space="preserve">득한 위안화 자금을 환전지급대기계좌로 바로 입금하는 경우 경내 기구는 은행에 자금 용도 증명서류를 제공할 필요가 없다. 경내 기구는 자본계정 수입을 지급 (환전 후 환전지급대기계좌로 입급하지 않고 직접 대외 지급하는 경우, 환전지급대기계좌에서 위안화로 대외 지급하거나 자본계정 외환계좌에서 직접 대외 지급 하는 </w:t>
            </w:r>
            <w:r w:rsidR="009D0640" w:rsidRPr="009D0640">
              <w:rPr>
                <w:rFonts w:ascii="한컴바탕" w:eastAsia="한컴바탕" w:hAnsi="한컴바탕" w:cs="한컴바탕" w:hint="eastAsia"/>
                <w:spacing w:val="-6"/>
                <w:szCs w:val="21"/>
                <w:lang w:eastAsia="ko-KR"/>
              </w:rPr>
              <w:t>경우를</w:t>
            </w:r>
            <w:r w:rsidR="009D0640" w:rsidRPr="009D0640">
              <w:rPr>
                <w:rFonts w:ascii="한컴바탕" w:eastAsia="한컴바탕" w:hAnsi="한컴바탕" w:cs="한컴바탕"/>
                <w:spacing w:val="-6"/>
                <w:szCs w:val="21"/>
                <w:lang w:eastAsia="ko-KR"/>
              </w:rPr>
              <w:t xml:space="preserve"> 포함함)에 사용하기 위한 수속 신청 시 은행에 자금 용도의 진실성에 관한 증명자료를 성실하게 제공하여야 한다.</w:t>
            </w:r>
          </w:p>
          <w:p w:rsidR="009D0640" w:rsidRPr="009D0640" w:rsidRDefault="003C1E6E" w:rsidP="009D0640">
            <w:pPr>
              <w:wordWrap w:val="0"/>
              <w:autoSpaceDN w:val="0"/>
              <w:snapToGrid w:val="0"/>
              <w:spacing w:line="290" w:lineRule="atLeast"/>
              <w:jc w:val="left"/>
              <w:rPr>
                <w:rFonts w:ascii="한컴바탕" w:eastAsia="한컴바탕" w:hAnsi="한컴바탕" w:cs="한컴바탕"/>
                <w:spacing w:val="-6"/>
                <w:szCs w:val="21"/>
                <w:lang w:eastAsia="ko-KR"/>
              </w:rPr>
            </w:pPr>
            <w:r>
              <w:rPr>
                <w:rFonts w:ascii="한컴바탕" w:eastAsia="한컴바탕" w:hAnsi="한컴바탕" w:cs="한컴바탕"/>
                <w:spacing w:val="-6"/>
                <w:szCs w:val="21"/>
                <w:lang w:eastAsia="ko-KR"/>
              </w:rPr>
              <w:t>(2)</w:t>
            </w:r>
            <w:r>
              <w:rPr>
                <w:rFonts w:ascii="한컴바탕" w:eastAsia="한컴바탕" w:hAnsi="한컴바탕" w:cs="한컴바탕" w:hint="eastAsia"/>
                <w:spacing w:val="-6"/>
                <w:szCs w:val="21"/>
                <w:lang w:eastAsia="ko-KR"/>
              </w:rPr>
              <w:t xml:space="preserve"> </w:t>
            </w:r>
            <w:r w:rsidR="009D0640" w:rsidRPr="009D0640">
              <w:rPr>
                <w:rFonts w:ascii="한컴바탕" w:eastAsia="한컴바탕" w:hAnsi="한컴바탕" w:cs="한컴바탕"/>
                <w:spacing w:val="-6"/>
                <w:szCs w:val="21"/>
                <w:lang w:eastAsia="ko-KR"/>
              </w:rPr>
              <w:t>은행은 "고객을 인지하고", "업무를 파악하며", "심사직책을 다하는" 등 업무수행 원칙을 준수하여야 하며 경내 기구의 자본계정 수입 환전 및 지급 수속을 처리함에 있어 진실성에 대한 심사 책임을 진다. 자금 지급 심사 시 매번마다 직전 회 지급 증명자료의 진설성과 준법성을 심사하여야 한다. 은행은 경내 기구의 자본계정 외화수입 환전 및 사용과 관련한 증명자료를 5년 동안 보관 비치하여야 한다.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zCs w:val="21"/>
                <w:lang w:eastAsia="ko-KR"/>
              </w:rPr>
            </w:pPr>
            <w:r w:rsidRPr="009D0640">
              <w:rPr>
                <w:rFonts w:ascii="한컴바탕" w:eastAsia="한컴바탕" w:hAnsi="한컴바탕" w:cs="한컴바탕" w:hint="eastAsia"/>
                <w:szCs w:val="21"/>
                <w:lang w:eastAsia="ko-KR"/>
              </w:rPr>
              <w:t>은행은</w:t>
            </w:r>
            <w:r w:rsidRPr="009D0640">
              <w:rPr>
                <w:rFonts w:ascii="한컴바탕" w:eastAsia="한컴바탕" w:hAnsi="한컴바탕" w:cs="한컴바탕"/>
                <w:szCs w:val="21"/>
                <w:lang w:eastAsia="ko-KR"/>
              </w:rPr>
              <w:t xml:space="preserve"> &lt;국가외환관리국의 &lt;금융기구 외환 업무 데이터 채집 규범(1.0버전)&gt; 발표 통지&gt;（회발〔2014〕18호）의 요구에 따라 자본금 계좌, 경내 자산 현금화 계좌, 경내 재투자 계좌, 외채 전용 계좌, 해외상장 전용 계좌, 기타 유형의 자본계정 계좌, 환전지급대기계좌(계좌 성격 코드 2113)와 관련된 계좌, 국제수지, 경내 이체, 계좌 내 환매매 등 정보를 지체없이 보고•전송하여야 한다. 그 중에서 환전지급대기계좌와 기타 위안화 계좌 간의 자금 이체</w:t>
            </w:r>
            <w:r w:rsidRPr="009D0640">
              <w:rPr>
                <w:rFonts w:ascii="한컴바탕" w:eastAsia="한컴바탕" w:hAnsi="한컴바탕" w:cs="한컴바탕" w:hint="eastAsia"/>
                <w:szCs w:val="21"/>
                <w:lang w:eastAsia="ko-KR"/>
              </w:rPr>
              <w:t>의</w:t>
            </w:r>
            <w:r w:rsidRPr="009D0640">
              <w:rPr>
                <w:rFonts w:ascii="한컴바탕" w:eastAsia="한컴바탕" w:hAnsi="한컴바탕" w:cs="한컴바탕"/>
                <w:szCs w:val="21"/>
                <w:lang w:eastAsia="ko-KR"/>
              </w:rPr>
              <w:t xml:space="preserve"> 경우 경내 수불금 증빙을 작성하여 경내 이체 정보를 보고•전송하여야 하며 '영수증 번호'란에 자금 용도 코드(회발[2014]18호 문건의 '7.10 외환결제 용도 코드'를 참조하여 기입)를 기입하여야 한다. 화물무역 대조검사 항목의 지급을 제외한 기타 이체 건의 거래  번호는 모두 "929070"을 기입한다.</w:t>
            </w:r>
          </w:p>
          <w:p w:rsidR="009D0640" w:rsidRPr="009D0640" w:rsidRDefault="003C1E6E" w:rsidP="009D0640">
            <w:pPr>
              <w:wordWrap w:val="0"/>
              <w:autoSpaceDN w:val="0"/>
              <w:snapToGrid w:val="0"/>
              <w:spacing w:line="290" w:lineRule="atLeast"/>
              <w:jc w:val="left"/>
              <w:rPr>
                <w:rFonts w:ascii="한컴바탕" w:eastAsia="한컴바탕" w:hAnsi="한컴바탕" w:cs="한컴바탕"/>
                <w:spacing w:val="-6"/>
                <w:szCs w:val="21"/>
                <w:lang w:eastAsia="ko-KR"/>
              </w:rPr>
            </w:pPr>
            <w:r>
              <w:rPr>
                <w:rFonts w:ascii="한컴바탕" w:eastAsia="한컴바탕" w:hAnsi="한컴바탕" w:cs="한컴바탕"/>
                <w:spacing w:val="-6"/>
                <w:szCs w:val="21"/>
                <w:lang w:eastAsia="ko-KR"/>
              </w:rPr>
              <w:t>(3)</w:t>
            </w:r>
            <w:r>
              <w:rPr>
                <w:rFonts w:ascii="한컴바탕" w:eastAsia="한컴바탕" w:hAnsi="한컴바탕" w:cs="한컴바탕" w:hint="eastAsia"/>
                <w:spacing w:val="-6"/>
                <w:szCs w:val="21"/>
                <w:lang w:eastAsia="ko-KR"/>
              </w:rPr>
              <w:t xml:space="preserve"> </w:t>
            </w:r>
            <w:r w:rsidR="009D0640" w:rsidRPr="009D0640">
              <w:rPr>
                <w:rFonts w:ascii="한컴바탕" w:eastAsia="한컴바탕" w:hAnsi="한컴바탕" w:cs="한컴바탕"/>
                <w:spacing w:val="-6"/>
                <w:szCs w:val="21"/>
                <w:lang w:eastAsia="ko-KR"/>
              </w:rPr>
              <w:t>경내 기구가 특수한 사정으로 일시적으로 진실성 증명자료를 제공 할 수 없게 된 경우 은행은 심사 의무를 이행하고 거래 배경의 진실 여부를 확인한 후 해당 경내 기구를 위하여 지급 수속을 처리해 줄 수 있으며 업무 처리 당일 내에 외환관리국의 관련 업무 시스템을 통하여 외환관리국에 특수 사항 비안(</w:t>
            </w:r>
            <w:r w:rsidR="009D0640" w:rsidRPr="009D0640">
              <w:rPr>
                <w:rFonts w:ascii="한컴바탕" w:eastAsia="한컴바탕" w:hAnsi="한컴바탕" w:cs="한컴바탕" w:hint="eastAsia"/>
                <w:spacing w:val="-6"/>
                <w:szCs w:val="21"/>
                <w:lang w:eastAsia="ko-KR"/>
              </w:rPr>
              <w:t>備案</w:t>
            </w:r>
            <w:r w:rsidR="009D0640" w:rsidRPr="009D0640">
              <w:rPr>
                <w:rFonts w:ascii="한컴바탕" w:eastAsia="한컴바탕" w:hAnsi="한컴바탕" w:cs="한컴바탕"/>
                <w:spacing w:val="-6"/>
                <w:szCs w:val="21"/>
                <w:lang w:eastAsia="ko-KR"/>
              </w:rPr>
              <w:t xml:space="preserve">)을 제출하여야 한다. 은행은 지급 완료 후 20일(근무일 기준) 이내에 경내 기구가 보충 제출한 관련 증명 자료를 전부 수집하고 심사를 마쳐야 하며 </w:t>
            </w:r>
            <w:r w:rsidR="009D0640" w:rsidRPr="009D0640">
              <w:rPr>
                <w:rFonts w:ascii="한컴바탕" w:eastAsia="한컴바탕" w:hAnsi="한컴바탕" w:cs="한컴바탕" w:hint="eastAsia"/>
                <w:spacing w:val="-6"/>
                <w:szCs w:val="21"/>
                <w:lang w:eastAsia="ko-KR"/>
              </w:rPr>
              <w:t>관련</w:t>
            </w:r>
            <w:r w:rsidR="009D0640" w:rsidRPr="009D0640">
              <w:rPr>
                <w:rFonts w:ascii="한컴바탕" w:eastAsia="한컴바탕" w:hAnsi="한컴바탕" w:cs="한컴바탕"/>
                <w:spacing w:val="-6"/>
                <w:szCs w:val="21"/>
                <w:lang w:eastAsia="ko-KR"/>
              </w:rPr>
              <w:t xml:space="preserve"> 업무 시스템을 통하</w:t>
            </w:r>
            <w:r w:rsidR="009D0640" w:rsidRPr="009D0640">
              <w:rPr>
                <w:rFonts w:ascii="한컴바탕" w:eastAsia="한컴바탕" w:hAnsi="한컴바탕" w:cs="한컴바탕"/>
                <w:spacing w:val="-6"/>
                <w:szCs w:val="21"/>
                <w:lang w:eastAsia="ko-KR"/>
              </w:rPr>
              <w:lastRenderedPageBreak/>
              <w:t>여 특수 사항 비안(</w:t>
            </w:r>
            <w:r w:rsidR="009D0640" w:rsidRPr="009D0640">
              <w:rPr>
                <w:rFonts w:ascii="한컴바탕" w:eastAsia="한컴바탕" w:hAnsi="한컴바탕" w:cs="한컴바탕" w:hint="eastAsia"/>
                <w:spacing w:val="-6"/>
                <w:szCs w:val="21"/>
                <w:lang w:eastAsia="ko-KR"/>
              </w:rPr>
              <w:t>備案</w:t>
            </w:r>
            <w:r w:rsidR="009D0640" w:rsidRPr="009D0640">
              <w:rPr>
                <w:rFonts w:ascii="한컴바탕" w:eastAsia="한컴바탕" w:hAnsi="한컴바탕" w:cs="한컴바탕"/>
                <w:spacing w:val="-6"/>
                <w:szCs w:val="21"/>
                <w:lang w:eastAsia="ko-KR"/>
              </w:rPr>
              <w:t>) 업무의 진실성 증명자료의 보충 제출 상황을 외환관리국에 보고하여야 한다.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hint="eastAsia"/>
                <w:spacing w:val="-6"/>
                <w:szCs w:val="21"/>
                <w:lang w:eastAsia="ko-KR"/>
              </w:rPr>
              <w:t>경내</w:t>
            </w:r>
            <w:r w:rsidRPr="009D0640">
              <w:rPr>
                <w:rFonts w:ascii="한컴바탕" w:eastAsia="한컴바탕" w:hAnsi="한컴바탕" w:cs="한컴바탕"/>
                <w:spacing w:val="-6"/>
                <w:szCs w:val="21"/>
                <w:lang w:eastAsia="ko-KR"/>
              </w:rPr>
              <w:t xml:space="preserve"> 기구가 예비금 명의로 자본계정 수입을 사용하는 경우 은행은 해당 경내 기구에 상기 진실성 증명자료의 제출을 요구하지 않을 수 있다. 단일 기구의 예비금(자유환전 및 지급환전 포함)의 월 누계 지급액이 미화 20만달러에 상당하는 금액을 초과하여서는 아니된다.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hint="eastAsia"/>
                <w:spacing w:val="-6"/>
                <w:szCs w:val="21"/>
                <w:lang w:eastAsia="ko-KR"/>
              </w:rPr>
              <w:t>자본계정</w:t>
            </w:r>
            <w:r w:rsidRPr="009D0640">
              <w:rPr>
                <w:rFonts w:ascii="한컴바탕" w:eastAsia="한컴바탕" w:hAnsi="한컴바탕" w:cs="한컴바탕"/>
                <w:spacing w:val="-6"/>
                <w:szCs w:val="21"/>
                <w:lang w:eastAsia="ko-KR"/>
              </w:rPr>
              <w:t xml:space="preserve"> 내의 모든 외화수입의 일괄적 지급환전 또는 환전지급대기계좌 내의 모든 위안화 자금의 일괄적 지급을 신청하는 경내 기구가 관련 진실성 증명자료를 제공하지 못할 경우 은행은 해당 경내 기구를 위하여 환전, 지급 수속을 처리하여서는 아니된다.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spacing w:val="-6"/>
                <w:szCs w:val="21"/>
                <w:lang w:eastAsia="ko-KR"/>
              </w:rPr>
              <w:t xml:space="preserve"> </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spacing w:val="-6"/>
                <w:szCs w:val="21"/>
                <w:lang w:eastAsia="ko-KR"/>
              </w:rPr>
              <w:t>6.</w:t>
            </w:r>
            <w:r w:rsidRPr="009D0640">
              <w:rPr>
                <w:rFonts w:ascii="한컴바탕" w:eastAsia="한컴바탕" w:hAnsi="한컴바탕" w:cs="한컴바탕"/>
                <w:spacing w:val="-6"/>
                <w:szCs w:val="21"/>
                <w:lang w:eastAsia="ko-KR"/>
              </w:rPr>
              <w:tab/>
              <w:t>외환관리국의 사후 감독관리와 규정위반 행위에 대한 조사•처리를 진일보 강화한다.</w:t>
            </w:r>
          </w:p>
          <w:p w:rsidR="009D0640" w:rsidRPr="009D0640" w:rsidRDefault="003C1E6E" w:rsidP="009D0640">
            <w:pPr>
              <w:wordWrap w:val="0"/>
              <w:autoSpaceDN w:val="0"/>
              <w:snapToGrid w:val="0"/>
              <w:spacing w:line="290" w:lineRule="atLeast"/>
              <w:jc w:val="left"/>
              <w:rPr>
                <w:rFonts w:ascii="한컴바탕" w:eastAsia="한컴바탕" w:hAnsi="한컴바탕" w:cs="한컴바탕"/>
                <w:spacing w:val="6"/>
                <w:szCs w:val="21"/>
                <w:lang w:eastAsia="ko-KR"/>
              </w:rPr>
            </w:pPr>
            <w:r>
              <w:rPr>
                <w:rFonts w:ascii="한컴바탕" w:eastAsia="한컴바탕" w:hAnsi="한컴바탕" w:cs="한컴바탕"/>
                <w:spacing w:val="-6"/>
                <w:szCs w:val="21"/>
                <w:lang w:eastAsia="ko-KR"/>
              </w:rPr>
              <w:t>(1)</w:t>
            </w:r>
            <w:r>
              <w:rPr>
                <w:rFonts w:ascii="한컴바탕" w:eastAsia="한컴바탕" w:hAnsi="한컴바탕" w:cs="한컴바탕" w:hint="eastAsia"/>
                <w:spacing w:val="-6"/>
                <w:szCs w:val="21"/>
                <w:lang w:eastAsia="ko-KR"/>
              </w:rPr>
              <w:t xml:space="preserve"> </w:t>
            </w:r>
            <w:r w:rsidR="009D0640" w:rsidRPr="009D0640">
              <w:rPr>
                <w:rFonts w:ascii="한컴바탕" w:eastAsia="한컴바탕" w:hAnsi="한컴바탕" w:cs="한컴바탕"/>
                <w:spacing w:val="6"/>
                <w:szCs w:val="21"/>
                <w:lang w:eastAsia="ko-KR"/>
              </w:rPr>
              <w:t>외환관리국은 &lt;중화인민공화국 외환관리조례&gt;(국무원령 제532호), &lt;국가외환관리국의 &lt;외채등기 관리방법&gt; 발표 통지&gt;(회발〔2013〕19호), &lt;국가외환관리국의 &lt;외국투자자 경내 직접투자 외환관리 규정&gt; 및 부대 문서 인쇄발부 통지&gt;(회발〔2013〕21호), &lt;국가외환관리국의 해외상장 외환관리 관련 문제에 대한 통지&gt;(회발〔2014〕54호)등 관련 규정에 근거하여 은행이 처리하는 경내 기구의 자본계정 수입 환전•지급•사용 등 업무에 대한 준법성 지</w:t>
            </w:r>
            <w:r w:rsidR="009D0640" w:rsidRPr="009D0640">
              <w:rPr>
                <w:rFonts w:ascii="한컴바탕" w:eastAsia="한컴바탕" w:hAnsi="한컴바탕" w:cs="한컴바탕" w:hint="eastAsia"/>
                <w:spacing w:val="6"/>
                <w:szCs w:val="21"/>
                <w:lang w:eastAsia="ko-KR"/>
              </w:rPr>
              <w:t>도와</w:t>
            </w:r>
            <w:r w:rsidR="009D0640" w:rsidRPr="009D0640">
              <w:rPr>
                <w:rFonts w:ascii="한컴바탕" w:eastAsia="한컴바탕" w:hAnsi="한컴바탕" w:cs="한컴바탕"/>
                <w:spacing w:val="6"/>
                <w:szCs w:val="21"/>
                <w:lang w:eastAsia="ko-KR"/>
              </w:rPr>
              <w:t xml:space="preserve"> 검사를 강화하여야 한다. 검사는 관련 업무 주체에게 설명서 및 업무자료의 제출 요구, 책임자와 면담, 현장에 출두하여 업무 주체의 관련 자료를 열람하거나 복사, 규정위반 상황 통보 등 방식을 취할 수 있다.</w:t>
            </w:r>
          </w:p>
          <w:p w:rsidR="009D0640" w:rsidRPr="009D0640" w:rsidRDefault="003C1E6E" w:rsidP="009D0640">
            <w:pPr>
              <w:wordWrap w:val="0"/>
              <w:autoSpaceDN w:val="0"/>
              <w:snapToGrid w:val="0"/>
              <w:spacing w:line="290" w:lineRule="atLeast"/>
              <w:jc w:val="left"/>
              <w:rPr>
                <w:rFonts w:ascii="한컴바탕" w:eastAsia="한컴바탕" w:hAnsi="한컴바탕" w:cs="한컴바탕"/>
                <w:spacing w:val="-6"/>
                <w:szCs w:val="21"/>
                <w:lang w:eastAsia="ko-KR"/>
              </w:rPr>
            </w:pPr>
            <w:r>
              <w:rPr>
                <w:rFonts w:ascii="한컴바탕" w:eastAsia="한컴바탕" w:hAnsi="한컴바탕" w:cs="한컴바탕"/>
                <w:spacing w:val="-6"/>
                <w:szCs w:val="21"/>
                <w:lang w:eastAsia="ko-KR"/>
              </w:rPr>
              <w:t>(2)</w:t>
            </w:r>
            <w:r>
              <w:rPr>
                <w:rFonts w:ascii="한컴바탕" w:eastAsia="한컴바탕" w:hAnsi="한컴바탕" w:cs="한컴바탕" w:hint="eastAsia"/>
                <w:spacing w:val="-6"/>
                <w:szCs w:val="21"/>
                <w:lang w:eastAsia="ko-KR"/>
              </w:rPr>
              <w:t xml:space="preserve"> </w:t>
            </w:r>
            <w:r w:rsidR="009D0640" w:rsidRPr="009D0640">
              <w:rPr>
                <w:rFonts w:ascii="한컴바탕" w:eastAsia="한컴바탕" w:hAnsi="한컴바탕" w:cs="한컴바탕"/>
                <w:spacing w:val="-6"/>
                <w:szCs w:val="21"/>
                <w:lang w:eastAsia="ko-KR"/>
              </w:rPr>
              <w:t>자본계정 수입의 환전•지급•사용 등 업무를 처리함에 있어 이 통지의 규정을 위반한 경내 기구와 은행에 대하여 외환관리국은 &lt;중화인민공화국 외환관리조례&gt; 및 관련 규정에 의거하여 조사•처리한다. 규정을 심각하게 위반하였거나 악의적으로 위반한 은행에 대하여 법에 의거하여 자본계정의 환매매 업무를 일시적으로 중단시킬 수 있다. 규정을 심각하게 위반하였거나 악의적으로 위반한 경내 기구에 대하여 법에 의거하여 자유환전 업무 자격을 일시적으로 박탈하거나 외환</w:t>
            </w:r>
            <w:r w:rsidR="009D0640" w:rsidRPr="009D0640">
              <w:rPr>
                <w:rFonts w:ascii="한컴바탕" w:eastAsia="한컴바탕" w:hAnsi="한컴바탕" w:cs="한컴바탕" w:hint="eastAsia"/>
                <w:spacing w:val="-6"/>
                <w:szCs w:val="21"/>
                <w:lang w:eastAsia="ko-KR"/>
              </w:rPr>
              <w:t>관리국의</w:t>
            </w:r>
            <w:r w:rsidR="009D0640" w:rsidRPr="009D0640">
              <w:rPr>
                <w:rFonts w:ascii="한컴바탕" w:eastAsia="한컴바탕" w:hAnsi="한컴바탕" w:cs="한컴바탕"/>
                <w:spacing w:val="-6"/>
                <w:szCs w:val="21"/>
                <w:lang w:eastAsia="ko-KR"/>
              </w:rPr>
              <w:t xml:space="preserve"> 자본계정 정보 시스템에서 당해 기구의 업무에 대한 관리 통제를 실시 할 수 있으며 당해 기구가 </w:t>
            </w:r>
            <w:r w:rsidR="009D0640" w:rsidRPr="009D0640">
              <w:rPr>
                <w:rFonts w:ascii="한컴바탕" w:eastAsia="한컴바탕" w:hAnsi="한컴바탕" w:cs="한컴바탕"/>
                <w:spacing w:val="-6"/>
                <w:szCs w:val="21"/>
                <w:lang w:eastAsia="ko-KR"/>
              </w:rPr>
              <w:lastRenderedPageBreak/>
              <w:t>설명서를 제출하고 시정조치를 취하기 전에 당해 기구의 기타 자본계정 업무를 처리해 주거나 업무에 대한 관리 통제를 취소하여서는 아니된다.</w:t>
            </w:r>
          </w:p>
          <w:p w:rsidR="009D0640" w:rsidRPr="003C1E6E"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3C1E6E">
              <w:rPr>
                <w:rFonts w:ascii="한컴바탕" w:eastAsia="한컴바탕" w:hAnsi="한컴바탕" w:cs="한컴바탕" w:hint="eastAsia"/>
                <w:spacing w:val="6"/>
                <w:szCs w:val="21"/>
                <w:lang w:eastAsia="ko-KR"/>
              </w:rPr>
              <w:t>이</w:t>
            </w:r>
            <w:r w:rsidRPr="003C1E6E">
              <w:rPr>
                <w:rFonts w:ascii="한컴바탕" w:eastAsia="한컴바탕" w:hAnsi="한컴바탕" w:cs="한컴바탕"/>
                <w:spacing w:val="6"/>
                <w:szCs w:val="21"/>
                <w:lang w:eastAsia="ko-KR"/>
              </w:rPr>
              <w:t xml:space="preserve"> 통지는 공표일부터 실시한다. &lt;국가외환관리국의 &lt;외채등기 관리방법&gt; 발표 통지&gt;(회발〔2013〕19호), &lt;국가외환관리국의 해외상장 외환관리 관련 문제에 대한 통지&gt;(회발〔2014〕54호), &lt;국가외환관리국의 외상투자기업의 외화자본금 환전 관리 방식을 개혁할 것에 관한 통지&gt;(회발〔2015〕19호), &lt;국가외환관리국의 &lt;다국적기업 외화자금 집중운영 관리규정&gt; 인쇄발부 통지&gt;(회발〔2015〕36호) 등 이전의 규정이 이 통지의 내용과 일치하지 아니 할 </w:t>
            </w:r>
            <w:r w:rsidRPr="003C1E6E">
              <w:rPr>
                <w:rFonts w:ascii="한컴바탕" w:eastAsia="한컴바탕" w:hAnsi="한컴바탕" w:cs="한컴바탕" w:hint="eastAsia"/>
                <w:spacing w:val="6"/>
                <w:szCs w:val="21"/>
                <w:lang w:eastAsia="ko-KR"/>
              </w:rPr>
              <w:t>경우</w:t>
            </w:r>
            <w:r w:rsidRPr="003C1E6E">
              <w:rPr>
                <w:rFonts w:ascii="한컴바탕" w:eastAsia="한컴바탕" w:hAnsi="한컴바탕" w:cs="한컴바탕"/>
                <w:spacing w:val="6"/>
                <w:szCs w:val="21"/>
                <w:lang w:eastAsia="ko-KR"/>
              </w:rPr>
              <w:t xml:space="preserve"> 이 통지의 내용을 기준으로 한다.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r w:rsidRPr="009D0640">
              <w:rPr>
                <w:rFonts w:ascii="한컴바탕" w:eastAsia="한컴바탕" w:hAnsi="한컴바탕" w:cs="한컴바탕" w:hint="eastAsia"/>
                <w:spacing w:val="-6"/>
                <w:szCs w:val="21"/>
                <w:lang w:eastAsia="ko-KR"/>
              </w:rPr>
              <w:t>국가외환관리국</w:t>
            </w:r>
            <w:r w:rsidRPr="009D0640">
              <w:rPr>
                <w:rFonts w:ascii="한컴바탕" w:eastAsia="한컴바탕" w:hAnsi="한컴바탕" w:cs="한컴바탕"/>
                <w:spacing w:val="-6"/>
                <w:szCs w:val="21"/>
                <w:lang w:eastAsia="ko-KR"/>
              </w:rPr>
              <w:t xml:space="preserve"> 각 분국, 외환관리부서는 이 통지를 접한 후 지체없이 관할구역 내의 중심지국, 지국, 도시상업은행 및 외자은행에 전달하여야 한다. 각 중자(</w:t>
            </w:r>
            <w:r w:rsidRPr="009D0640">
              <w:rPr>
                <w:rFonts w:ascii="한컴바탕" w:eastAsia="한컴바탕" w:hAnsi="한컴바탕" w:cs="한컴바탕" w:hint="eastAsia"/>
                <w:spacing w:val="-6"/>
                <w:szCs w:val="21"/>
                <w:lang w:eastAsia="ko-KR"/>
              </w:rPr>
              <w:t>中資</w:t>
            </w:r>
            <w:r w:rsidRPr="009D0640">
              <w:rPr>
                <w:rFonts w:ascii="한컴바탕" w:eastAsia="한컴바탕" w:hAnsi="한컴바탕" w:cs="한컴바탕"/>
                <w:spacing w:val="-6"/>
                <w:szCs w:val="21"/>
                <w:lang w:eastAsia="ko-KR"/>
              </w:rPr>
              <w:t>)외환지정은행은 이 통지를 접한 후 가능한 빨리 관할 구역 내의 지점에 전달하여야 한다. 집행 과정에 문제에 봉착한 경우 지체없이 국가외환관리국 자본계정관리사(</w:t>
            </w:r>
            <w:r w:rsidRPr="009D0640">
              <w:rPr>
                <w:rFonts w:ascii="한컴바탕" w:eastAsia="한컴바탕" w:hAnsi="한컴바탕" w:cs="한컴바탕" w:hint="eastAsia"/>
                <w:spacing w:val="-6"/>
                <w:szCs w:val="21"/>
                <w:lang w:eastAsia="ko-KR"/>
              </w:rPr>
              <w:t>司</w:t>
            </w:r>
            <w:r w:rsidRPr="009D0640">
              <w:rPr>
                <w:rFonts w:ascii="한컴바탕" w:eastAsia="한컴바탕" w:hAnsi="한컴바탕" w:cs="한컴바탕"/>
                <w:spacing w:val="-6"/>
                <w:szCs w:val="21"/>
                <w:lang w:eastAsia="ko-KR"/>
              </w:rPr>
              <w:t>)에 반영하기 바란다.</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p>
          <w:p w:rsidR="003C1E6E" w:rsidRPr="00DB6CBA" w:rsidRDefault="003C1E6E" w:rsidP="003C1E6E">
            <w:pPr>
              <w:wordWrap w:val="0"/>
              <w:topLinePunct/>
              <w:spacing w:line="360" w:lineRule="auto"/>
              <w:rPr>
                <w:rFonts w:ascii="Gulim" w:eastAsia="Gulim" w:hAnsi="Gulim"/>
                <w:lang w:eastAsia="ko-KR"/>
              </w:rPr>
            </w:pPr>
            <w:r w:rsidRPr="00DB6CBA">
              <w:rPr>
                <w:rFonts w:ascii="Gulim" w:eastAsia="Gulim" w:hAnsi="Gulim" w:hint="eastAsia"/>
                <w:lang w:eastAsia="ko-KR"/>
              </w:rPr>
              <w:t>첨부</w:t>
            </w:r>
            <w:r>
              <w:rPr>
                <w:rFonts w:ascii="Gulim" w:eastAsia="Gulim" w:hAnsi="Gulim" w:hint="eastAsia"/>
                <w:lang w:eastAsia="ko-KR"/>
              </w:rPr>
              <w:t xml:space="preserve"> </w:t>
            </w:r>
            <w:r w:rsidRPr="00DB6CBA">
              <w:rPr>
                <w:rFonts w:ascii="Gulim" w:eastAsia="Gulim" w:hAnsi="Gulim"/>
                <w:lang w:eastAsia="ko-KR"/>
              </w:rPr>
              <w:t xml:space="preserve">: </w:t>
            </w:r>
            <w:hyperlink r:id="rId7" w:tgtFrame="_blank" w:history="1">
              <w:r w:rsidRPr="00DB6CBA">
                <w:rPr>
                  <w:rStyle w:val="a7"/>
                  <w:rFonts w:ascii="Gulim" w:eastAsia="Gulim" w:hAnsi="Gulim" w:cs="Batang" w:hint="eastAsia"/>
                  <w:szCs w:val="21"/>
                  <w:lang w:eastAsia="ko-KR"/>
                </w:rPr>
                <w:t>자본계정 계좌 자금 지급 명령서</w:t>
              </w:r>
            </w:hyperlink>
          </w:p>
          <w:p w:rsidR="009D0640" w:rsidRPr="003C1E6E"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p>
          <w:p w:rsidR="009D0640" w:rsidRPr="009D0640" w:rsidRDefault="009D0640" w:rsidP="003C1E6E">
            <w:pPr>
              <w:wordWrap w:val="0"/>
              <w:autoSpaceDN w:val="0"/>
              <w:snapToGrid w:val="0"/>
              <w:spacing w:line="290" w:lineRule="atLeast"/>
              <w:jc w:val="right"/>
              <w:rPr>
                <w:rFonts w:ascii="한컴바탕" w:eastAsia="한컴바탕" w:hAnsi="한컴바탕" w:cs="한컴바탕"/>
                <w:spacing w:val="-6"/>
                <w:szCs w:val="21"/>
                <w:lang w:eastAsia="ko-KR"/>
              </w:rPr>
            </w:pPr>
            <w:r w:rsidRPr="009D0640">
              <w:rPr>
                <w:rFonts w:ascii="한컴바탕" w:eastAsia="한컴바탕" w:hAnsi="한컴바탕" w:cs="한컴바탕" w:hint="eastAsia"/>
                <w:spacing w:val="-6"/>
                <w:szCs w:val="21"/>
                <w:lang w:eastAsia="ko-KR"/>
              </w:rPr>
              <w:t>국가외환관리국</w:t>
            </w:r>
          </w:p>
          <w:p w:rsidR="009D0640" w:rsidRPr="009D0640" w:rsidRDefault="009D0640" w:rsidP="003C1E6E">
            <w:pPr>
              <w:wordWrap w:val="0"/>
              <w:autoSpaceDN w:val="0"/>
              <w:snapToGrid w:val="0"/>
              <w:spacing w:line="290" w:lineRule="atLeast"/>
              <w:jc w:val="right"/>
              <w:rPr>
                <w:rFonts w:ascii="한컴바탕" w:eastAsia="한컴바탕" w:hAnsi="한컴바탕" w:cs="한컴바탕"/>
                <w:spacing w:val="-6"/>
                <w:szCs w:val="21"/>
                <w:lang w:eastAsia="ko-KR"/>
              </w:rPr>
            </w:pPr>
            <w:r w:rsidRPr="009D0640">
              <w:rPr>
                <w:rFonts w:ascii="한컴바탕" w:eastAsia="한컴바탕" w:hAnsi="한컴바탕" w:cs="한컴바탕"/>
                <w:spacing w:val="-6"/>
                <w:szCs w:val="21"/>
                <w:lang w:eastAsia="ko-KR"/>
              </w:rPr>
              <w:t xml:space="preserve">2016년6월9일  </w:t>
            </w:r>
          </w:p>
          <w:p w:rsidR="009D0640" w:rsidRPr="009D0640" w:rsidRDefault="009D0640" w:rsidP="009D0640">
            <w:pPr>
              <w:wordWrap w:val="0"/>
              <w:autoSpaceDN w:val="0"/>
              <w:snapToGrid w:val="0"/>
              <w:spacing w:line="290" w:lineRule="atLeast"/>
              <w:jc w:val="left"/>
              <w:rPr>
                <w:rFonts w:ascii="한컴바탕" w:eastAsia="한컴바탕" w:hAnsi="한컴바탕" w:cs="한컴바탕"/>
                <w:spacing w:val="-6"/>
                <w:szCs w:val="21"/>
                <w:lang w:eastAsia="ko-KR"/>
              </w:rPr>
            </w:pPr>
          </w:p>
          <w:p w:rsidR="00F6633C" w:rsidRPr="009D0640" w:rsidRDefault="00F6633C" w:rsidP="00F6633C">
            <w:pPr>
              <w:wordWrap w:val="0"/>
              <w:autoSpaceDN w:val="0"/>
              <w:snapToGrid w:val="0"/>
              <w:spacing w:line="290" w:lineRule="atLeast"/>
              <w:jc w:val="left"/>
              <w:rPr>
                <w:rFonts w:ascii="한컴바탕" w:eastAsia="한컴바탕" w:hAnsi="한컴바탕" w:cs="한컴바탕"/>
                <w:spacing w:val="-6"/>
                <w:szCs w:val="21"/>
                <w:lang w:eastAsia="ko-KR"/>
              </w:rPr>
            </w:pPr>
          </w:p>
          <w:p w:rsidR="00E05766" w:rsidRPr="009A6824" w:rsidRDefault="00E05766" w:rsidP="00DC50B8">
            <w:pPr>
              <w:pStyle w:val="a4"/>
              <w:wordWrap w:val="0"/>
              <w:autoSpaceDN w:val="0"/>
              <w:snapToGrid w:val="0"/>
              <w:spacing w:line="290" w:lineRule="atLeast"/>
              <w:jc w:val="right"/>
              <w:rPr>
                <w:rFonts w:ascii="한컴바탕" w:eastAsia="한컴바탕" w:hAnsi="한컴바탕" w:cs="한컴바탕"/>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DB5008" w:rsidRPr="007B1D46" w:rsidRDefault="00DB5008" w:rsidP="00E05766">
            <w:pPr>
              <w:pStyle w:val="a4"/>
              <w:wordWrap w:val="0"/>
              <w:autoSpaceDN w:val="0"/>
              <w:snapToGrid w:val="0"/>
              <w:spacing w:line="290" w:lineRule="atLeast"/>
              <w:rPr>
                <w:rFonts w:ascii="한컴바탕" w:eastAsia="한컴바탕" w:hAnsi="한컴바탕" w:cs="한컴바탕"/>
                <w:szCs w:val="21"/>
                <w:lang w:eastAsia="ko-KR"/>
              </w:rPr>
            </w:pPr>
          </w:p>
        </w:tc>
        <w:tc>
          <w:tcPr>
            <w:tcW w:w="539" w:type="dxa"/>
          </w:tcPr>
          <w:p w:rsidR="00DB5008" w:rsidRPr="00587FEA" w:rsidRDefault="00DB5008" w:rsidP="00DB5008">
            <w:pPr>
              <w:wordWrap w:val="0"/>
              <w:spacing w:line="290" w:lineRule="atLeast"/>
              <w:rPr>
                <w:spacing w:val="-14"/>
                <w:szCs w:val="21"/>
                <w:lang w:eastAsia="ko-KR"/>
              </w:rPr>
            </w:pPr>
          </w:p>
        </w:tc>
        <w:tc>
          <w:tcPr>
            <w:tcW w:w="3958" w:type="dxa"/>
          </w:tcPr>
          <w:p w:rsidR="009D0640" w:rsidRPr="009D0640" w:rsidRDefault="009D0640" w:rsidP="009D0640">
            <w:pPr>
              <w:wordWrap w:val="0"/>
              <w:autoSpaceDE w:val="0"/>
              <w:autoSpaceDN w:val="0"/>
              <w:snapToGrid w:val="0"/>
              <w:spacing w:line="290" w:lineRule="atLeast"/>
              <w:jc w:val="center"/>
              <w:rPr>
                <w:rFonts w:ascii="SimSun" w:eastAsia="SimSun" w:hAnsi="SimSun"/>
                <w:b/>
                <w:spacing w:val="-14"/>
                <w:sz w:val="26"/>
                <w:szCs w:val="26"/>
              </w:rPr>
            </w:pPr>
            <w:r w:rsidRPr="009D0640">
              <w:rPr>
                <w:rFonts w:ascii="SimSun" w:eastAsia="SimSun" w:hAnsi="SimSun" w:hint="eastAsia"/>
                <w:b/>
                <w:spacing w:val="-14"/>
                <w:sz w:val="26"/>
                <w:szCs w:val="26"/>
              </w:rPr>
              <w:t>国家外汇管理局关于改革和规范资本项目结汇管理政策的通知</w:t>
            </w:r>
          </w:p>
          <w:p w:rsidR="009D0640" w:rsidRPr="009D0640" w:rsidRDefault="009D0640" w:rsidP="009D0640">
            <w:pPr>
              <w:wordWrap w:val="0"/>
              <w:autoSpaceDE w:val="0"/>
              <w:autoSpaceDN w:val="0"/>
              <w:snapToGrid w:val="0"/>
              <w:spacing w:line="290" w:lineRule="atLeast"/>
              <w:jc w:val="center"/>
              <w:rPr>
                <w:rFonts w:ascii="SimSun" w:eastAsia="SimSun" w:hAnsi="SimSun"/>
                <w:szCs w:val="21"/>
              </w:rPr>
            </w:pPr>
            <w:r w:rsidRPr="009D0640">
              <w:rPr>
                <w:rFonts w:ascii="SimSun" w:eastAsia="SimSun" w:hAnsi="SimSun" w:hint="eastAsia"/>
                <w:szCs w:val="21"/>
              </w:rPr>
              <w:t>汇发〔</w:t>
            </w:r>
            <w:r w:rsidRPr="009D0640">
              <w:rPr>
                <w:rFonts w:ascii="SimSun" w:eastAsia="SimSun" w:hAnsi="SimSun"/>
                <w:szCs w:val="21"/>
              </w:rPr>
              <w:t>2016〕16</w:t>
            </w:r>
            <w:r w:rsidRPr="009D0640">
              <w:rPr>
                <w:rFonts w:ascii="SimSun" w:eastAsia="SimSun" w:hAnsi="SimSun" w:hint="eastAsia"/>
                <w:szCs w:val="21"/>
              </w:rPr>
              <w:t>号</w:t>
            </w:r>
          </w:p>
          <w:p w:rsidR="009D0640" w:rsidRPr="009D0640" w:rsidRDefault="009D0640" w:rsidP="009D0640">
            <w:pPr>
              <w:wordWrap w:val="0"/>
              <w:autoSpaceDE w:val="0"/>
              <w:autoSpaceDN w:val="0"/>
              <w:snapToGrid w:val="0"/>
              <w:spacing w:line="290" w:lineRule="atLeast"/>
              <w:rPr>
                <w:rFonts w:ascii="SimSun" w:eastAsia="SimSun" w:hAnsi="SimSun"/>
                <w:szCs w:val="21"/>
              </w:rPr>
            </w:pPr>
          </w:p>
          <w:p w:rsidR="009D0640" w:rsidRPr="009D0640" w:rsidRDefault="009D0640" w:rsidP="009D0640">
            <w:pPr>
              <w:wordWrap w:val="0"/>
              <w:autoSpaceDE w:val="0"/>
              <w:autoSpaceDN w:val="0"/>
              <w:snapToGrid w:val="0"/>
              <w:spacing w:line="290" w:lineRule="atLeast"/>
              <w:rPr>
                <w:rFonts w:ascii="SimSun" w:eastAsia="SimSun" w:hAnsi="SimSun"/>
                <w:szCs w:val="21"/>
              </w:rPr>
            </w:pP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国家外汇管理局各省、自治区、直辖市分局、外汇管理部，深圳、大连、青岛、厦门、宁波市分局；各中资外汇指定银行：</w:t>
            </w: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为进一步深化外汇管理体制改革，更好地满足和便利境内企业经营与资金运作需要，国家外汇管理局决定在总结前期部分地区试点经验的基础上，在全国范围内推广企业外债资金结汇管理方式改革，同时统一规范资本项目外汇收入意愿结汇及支付管理。现就有关问题通知如下：</w:t>
            </w:r>
            <w:r w:rsidRPr="009D0640">
              <w:rPr>
                <w:rFonts w:ascii="SimSun" w:eastAsia="SimSun" w:hAnsi="SimSun"/>
                <w:szCs w:val="21"/>
              </w:rPr>
              <w:t xml:space="preserve"> </w:t>
            </w:r>
          </w:p>
          <w:p w:rsidR="009D0640" w:rsidRPr="009D0640" w:rsidRDefault="009D0640" w:rsidP="009D0640">
            <w:pPr>
              <w:wordWrap w:val="0"/>
              <w:autoSpaceDE w:val="0"/>
              <w:autoSpaceDN w:val="0"/>
              <w:snapToGrid w:val="0"/>
              <w:spacing w:line="290" w:lineRule="atLeast"/>
              <w:rPr>
                <w:rFonts w:ascii="SimSun" w:eastAsia="SimSun" w:hAnsi="SimSun"/>
                <w:szCs w:val="21"/>
              </w:rPr>
            </w:pP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一、</w:t>
            </w:r>
            <w:r w:rsidRPr="009D0640">
              <w:rPr>
                <w:rFonts w:ascii="SimSun" w:eastAsia="SimSun" w:hAnsi="SimSun"/>
                <w:szCs w:val="21"/>
              </w:rPr>
              <w:t xml:space="preserve"> </w:t>
            </w:r>
            <w:r w:rsidRPr="009D0640">
              <w:rPr>
                <w:rFonts w:ascii="SimSun" w:eastAsia="SimSun" w:hAnsi="SimSun" w:hint="eastAsia"/>
                <w:szCs w:val="21"/>
              </w:rPr>
              <w:t>在全国范围内实施企业外债资金结汇管理方式改革</w:t>
            </w: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在中国（上海）自由贸易试验区、中国（天津）自由贸易试验区、中国（广东）自由贸易试验区、中国（福建）自由贸易试验区相关试点经验的基础上，将企业外债资金结汇管理方式改革试点推广至全国。自本通知实施之日起，境内企业（包括中资企业和外商投资企业，不含金融机构）外债资金均可按照意愿结汇方式办理结汇手续。</w:t>
            </w:r>
          </w:p>
          <w:p w:rsidR="009D0640" w:rsidRPr="009D0640" w:rsidRDefault="009D0640" w:rsidP="009D0640">
            <w:pPr>
              <w:wordWrap w:val="0"/>
              <w:autoSpaceDE w:val="0"/>
              <w:autoSpaceDN w:val="0"/>
              <w:snapToGrid w:val="0"/>
              <w:spacing w:line="290" w:lineRule="atLeast"/>
              <w:rPr>
                <w:rFonts w:ascii="SimSun" w:eastAsia="SimSun" w:hAnsi="SimSun"/>
                <w:szCs w:val="21"/>
              </w:rPr>
            </w:pP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二、</w:t>
            </w:r>
            <w:r w:rsidRPr="009D0640">
              <w:rPr>
                <w:rFonts w:ascii="SimSun" w:eastAsia="SimSun" w:hAnsi="SimSun"/>
                <w:szCs w:val="21"/>
              </w:rPr>
              <w:t xml:space="preserve"> </w:t>
            </w:r>
            <w:r w:rsidRPr="009D0640">
              <w:rPr>
                <w:rFonts w:ascii="SimSun" w:eastAsia="SimSun" w:hAnsi="SimSun" w:hint="eastAsia"/>
                <w:szCs w:val="21"/>
              </w:rPr>
              <w:t>统一境内机构资本项目外汇收入意愿结汇政策</w:t>
            </w: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资本项目外汇收入意愿结汇是指相关政策已经明确实行意愿结汇的资本项目外汇收入（包括外汇资本金、外债资金和境外上市调回资金等），可根据境内机构的实际经营需要在银行办理结汇。现行法规对境内机构资本项目外汇收入结汇存在限制性规定的，从其规定。</w:t>
            </w: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境内机构资本项目外汇收入意愿结汇比例暂定为</w:t>
            </w:r>
            <w:r w:rsidRPr="009D0640">
              <w:rPr>
                <w:rFonts w:ascii="SimSun" w:eastAsia="SimSun" w:hAnsi="SimSun"/>
                <w:szCs w:val="21"/>
              </w:rPr>
              <w:t>100%。</w:t>
            </w:r>
            <w:r w:rsidRPr="009D0640">
              <w:rPr>
                <w:rFonts w:ascii="SimSun" w:eastAsia="SimSun" w:hAnsi="SimSun" w:hint="eastAsia"/>
                <w:szCs w:val="21"/>
              </w:rPr>
              <w:t>国家外汇管理局可根据国际收支形势适时对上述比例进行调整。</w:t>
            </w: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在实行资本项目外汇收入意愿结汇的同时，境内机构仍可选择按照支付结汇制使用其外汇收入。银行按照支付结汇原</w:t>
            </w:r>
            <w:r w:rsidRPr="009D0640">
              <w:rPr>
                <w:rFonts w:ascii="SimSun" w:eastAsia="SimSun" w:hAnsi="SimSun" w:hint="eastAsia"/>
                <w:szCs w:val="21"/>
              </w:rPr>
              <w:lastRenderedPageBreak/>
              <w:t>则为境内机构办理每一笔结汇业务时，均应审核境内机构上一笔结汇（包括意愿结汇和支付结汇）资金使用的真实性与合规性。</w:t>
            </w: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境内机构外汇收入境内原币划转及其跨境对外支付按现行外汇管理规定办理。</w:t>
            </w:r>
          </w:p>
          <w:p w:rsidR="009D0640" w:rsidRPr="009D0640" w:rsidRDefault="009D0640" w:rsidP="009D0640">
            <w:pPr>
              <w:wordWrap w:val="0"/>
              <w:autoSpaceDE w:val="0"/>
              <w:autoSpaceDN w:val="0"/>
              <w:snapToGrid w:val="0"/>
              <w:spacing w:line="290" w:lineRule="atLeast"/>
              <w:rPr>
                <w:rFonts w:ascii="SimSun" w:eastAsia="SimSun" w:hAnsi="SimSun"/>
                <w:szCs w:val="21"/>
              </w:rPr>
            </w:pP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三、境内机构资本项目外汇收入意愿结汇所得人民币资金纳入结汇待支付账户管理</w:t>
            </w: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境内机构原则上应在银行开立一一对应的“资本项目—结汇待支付账户”（以下简称结汇待支付账户），用于存放资本项目外汇收入意愿结汇所得人民币资金，并通过该账户办理各类支付手续。境内机构在同一银行网点开立的同名资本金账户、境内资产变现账户、境内再投资账户、外债专用账户、境外上市专用账户及符合规定的其他类型的资本项目账户，可共用一个结汇待支付账户。境内机构按支付结汇原则结汇所得人民币资金不得通过结汇待支付账户进行支付。</w:t>
            </w: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结汇待支付账户的收入范围包括：由同名或开展境内股权投资企业的资本金账户、境内资产变现账户、境内再投资账户、外债专用账户、境外上市专用账户及符合规定的其他类型的资本项目外汇账户结汇划入的资金，由同名或开展境内股权投资企业的结汇待支付账户划入的资金，由本账户合规划出后划回的资金，因交易撤销退回的资金，符合规定的人民币收入，账户利息收入，以及经外汇局（银行）登记或外汇局核准的其他收入。</w:t>
            </w:r>
          </w:p>
          <w:p w:rsidR="009D0640" w:rsidRPr="009D0640" w:rsidRDefault="009D0640" w:rsidP="009D0640">
            <w:pPr>
              <w:wordWrap w:val="0"/>
              <w:autoSpaceDE w:val="0"/>
              <w:autoSpaceDN w:val="0"/>
              <w:snapToGrid w:val="0"/>
              <w:spacing w:line="290" w:lineRule="atLeast"/>
              <w:rPr>
                <w:rFonts w:ascii="SimSun" w:eastAsia="SimSun" w:hAnsi="SimSun"/>
                <w:spacing w:val="10"/>
                <w:szCs w:val="21"/>
              </w:rPr>
            </w:pPr>
            <w:r w:rsidRPr="009D0640">
              <w:rPr>
                <w:rFonts w:ascii="SimSun" w:eastAsia="SimSun" w:hAnsi="SimSun" w:hint="eastAsia"/>
                <w:spacing w:val="10"/>
                <w:szCs w:val="21"/>
              </w:rPr>
              <w:t>结汇待支付账户的支出范围包括：经营范围内的支出，支付境内股权投资资金和人民币保证金，划往资金集中管理专户、同名结汇待支付账户，购付汇或直接对外偿还外债、划往还本付息专用账户，购付汇或直接汇往境外用于回购境外股份或境外上市其他支出，外国投资者减资、撤资资金购付汇或直接对外支付，为境外机构代扣代缴境内税费，代境内国有股东将国有股减持收入划转社保基金，购付</w:t>
            </w:r>
            <w:r w:rsidRPr="009D0640">
              <w:rPr>
                <w:rFonts w:ascii="SimSun" w:eastAsia="SimSun" w:hAnsi="SimSun" w:hint="eastAsia"/>
                <w:spacing w:val="10"/>
                <w:szCs w:val="21"/>
              </w:rPr>
              <w:lastRenderedPageBreak/>
              <w:t>汇或直接对外支付经常项目支出及经外汇局（银行）登记或外汇局核准的其他资本项目支出。</w:t>
            </w:r>
          </w:p>
          <w:p w:rsidR="009D0640" w:rsidRPr="009D0640" w:rsidRDefault="009D0640" w:rsidP="009D0640">
            <w:pPr>
              <w:wordWrap w:val="0"/>
              <w:autoSpaceDE w:val="0"/>
              <w:autoSpaceDN w:val="0"/>
              <w:snapToGrid w:val="0"/>
              <w:spacing w:line="290" w:lineRule="atLeast"/>
              <w:rPr>
                <w:rFonts w:ascii="SimSun" w:eastAsia="SimSun" w:hAnsi="SimSun"/>
                <w:spacing w:val="10"/>
                <w:szCs w:val="21"/>
              </w:rPr>
            </w:pPr>
            <w:r w:rsidRPr="009D0640">
              <w:rPr>
                <w:rFonts w:ascii="SimSun" w:eastAsia="SimSun" w:hAnsi="SimSun" w:hint="eastAsia"/>
                <w:spacing w:val="10"/>
                <w:szCs w:val="21"/>
              </w:rPr>
              <w:t>结汇待支付账户内的人民币资金不得购汇划回资本项目外汇账户。由结汇待支付账户划出用于担保或支付其他保证金的人民币资金，除发生担保履约或违约扣款的，均需原路划回结汇待支付账户。</w:t>
            </w:r>
          </w:p>
          <w:p w:rsidR="009D0640" w:rsidRDefault="009D0640" w:rsidP="009D0640">
            <w:pPr>
              <w:wordWrap w:val="0"/>
              <w:autoSpaceDE w:val="0"/>
              <w:autoSpaceDN w:val="0"/>
              <w:snapToGrid w:val="0"/>
              <w:spacing w:line="290" w:lineRule="atLeast"/>
              <w:rPr>
                <w:rFonts w:ascii="SimSun" w:eastAsia="SimSun" w:hAnsi="SimSun" w:hint="eastAsia"/>
                <w:szCs w:val="21"/>
              </w:rPr>
            </w:pPr>
            <w:r>
              <w:rPr>
                <w:rFonts w:ascii="SimSun" w:eastAsia="SimSun" w:hAnsi="SimSun" w:hint="eastAsia"/>
                <w:szCs w:val="21"/>
              </w:rPr>
              <w:t xml:space="preserve"> </w:t>
            </w:r>
          </w:p>
          <w:p w:rsidR="009D0640" w:rsidRDefault="009D0640" w:rsidP="009D0640">
            <w:pPr>
              <w:wordWrap w:val="0"/>
              <w:autoSpaceDE w:val="0"/>
              <w:autoSpaceDN w:val="0"/>
              <w:snapToGrid w:val="0"/>
              <w:spacing w:line="290" w:lineRule="atLeast"/>
              <w:rPr>
                <w:rFonts w:ascii="SimSun" w:eastAsia="SimSun" w:hAnsi="SimSun" w:hint="eastAsia"/>
                <w:szCs w:val="21"/>
              </w:rPr>
            </w:pPr>
          </w:p>
          <w:p w:rsidR="009D0640" w:rsidRPr="009D0640" w:rsidRDefault="009D0640" w:rsidP="009D0640">
            <w:pPr>
              <w:wordWrap w:val="0"/>
              <w:autoSpaceDE w:val="0"/>
              <w:autoSpaceDN w:val="0"/>
              <w:snapToGrid w:val="0"/>
              <w:spacing w:line="290" w:lineRule="atLeast"/>
              <w:rPr>
                <w:rFonts w:ascii="SimSun" w:eastAsia="SimSun" w:hAnsi="SimSun"/>
                <w:szCs w:val="21"/>
              </w:rPr>
            </w:pP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四、</w:t>
            </w:r>
            <w:r w:rsidRPr="009D0640">
              <w:rPr>
                <w:rFonts w:ascii="SimSun" w:eastAsia="SimSun" w:hAnsi="SimSun" w:hint="eastAsia"/>
                <w:spacing w:val="10"/>
                <w:szCs w:val="21"/>
              </w:rPr>
              <w:t>境内机构资本项目外汇收入的使用应在经营范围内遵循真实、自用原则</w:t>
            </w: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境内机构的资本项目外汇收入及其结汇所得人民币资金，可用于自身经营范围内的经常项下支出，以及法律法规允许的资本项下支出。</w:t>
            </w: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境内机构的资本项目外汇收入及其结汇所得人民币资金的使用，应当遵守以下规定：</w:t>
            </w:r>
          </w:p>
          <w:p w:rsidR="009D0640" w:rsidRPr="009D0640" w:rsidRDefault="009D0640" w:rsidP="009D0640">
            <w:pPr>
              <w:wordWrap w:val="0"/>
              <w:autoSpaceDE w:val="0"/>
              <w:autoSpaceDN w:val="0"/>
              <w:snapToGrid w:val="0"/>
              <w:spacing w:line="290" w:lineRule="atLeast"/>
              <w:rPr>
                <w:rFonts w:ascii="SimSun" w:eastAsia="SimSun" w:hAnsi="SimSun" w:hint="eastAsia"/>
                <w:szCs w:val="21"/>
              </w:rPr>
            </w:pPr>
            <w:r w:rsidRPr="009D0640">
              <w:rPr>
                <w:rFonts w:ascii="SimSun" w:eastAsia="SimSun" w:hAnsi="SimSun" w:hint="eastAsia"/>
                <w:szCs w:val="21"/>
              </w:rPr>
              <w:t>（一</w:t>
            </w:r>
            <w:r>
              <w:rPr>
                <w:rFonts w:ascii="SimSun" w:eastAsia="SimSun" w:hAnsi="SimSun" w:hint="eastAsia"/>
                <w:szCs w:val="21"/>
              </w:rPr>
              <w:t>）</w:t>
            </w:r>
            <w:r w:rsidRPr="009D0640">
              <w:rPr>
                <w:rFonts w:ascii="SimSun" w:eastAsia="SimSun" w:hAnsi="SimSun" w:hint="eastAsia"/>
                <w:szCs w:val="21"/>
              </w:rPr>
              <w:t>不得直接或间接用于企业经营范围之外或国家法律法规禁止的支出；</w:t>
            </w:r>
          </w:p>
          <w:p w:rsidR="009D0640" w:rsidRPr="009D0640" w:rsidRDefault="009D0640" w:rsidP="009D0640"/>
          <w:p w:rsidR="009D0640" w:rsidRDefault="009D0640" w:rsidP="009D0640">
            <w:pPr>
              <w:wordWrap w:val="0"/>
              <w:autoSpaceDE w:val="0"/>
              <w:autoSpaceDN w:val="0"/>
              <w:snapToGrid w:val="0"/>
              <w:spacing w:line="290" w:lineRule="atLeast"/>
              <w:rPr>
                <w:rFonts w:ascii="SimSun" w:eastAsia="SimSun" w:hAnsi="SimSun" w:hint="eastAsia"/>
                <w:szCs w:val="21"/>
              </w:rPr>
            </w:pPr>
            <w:r w:rsidRPr="009D0640">
              <w:rPr>
                <w:rFonts w:ascii="SimSun" w:eastAsia="SimSun" w:hAnsi="SimSun" w:hint="eastAsia"/>
                <w:szCs w:val="21"/>
              </w:rPr>
              <w:t>（二）除另有明确规定外，不得直接或间接用于证券投资或除银行保本型产品之外的其他投资理财；</w:t>
            </w:r>
          </w:p>
          <w:p w:rsidR="009D0640" w:rsidRPr="009D0640" w:rsidRDefault="009D0640" w:rsidP="009D0640">
            <w:pPr>
              <w:wordWrap w:val="0"/>
              <w:autoSpaceDE w:val="0"/>
              <w:autoSpaceDN w:val="0"/>
              <w:snapToGrid w:val="0"/>
              <w:spacing w:line="290" w:lineRule="atLeast"/>
              <w:rPr>
                <w:rFonts w:ascii="SimSun" w:eastAsia="SimSun" w:hAnsi="SimSun"/>
                <w:szCs w:val="21"/>
              </w:rPr>
            </w:pPr>
          </w:p>
          <w:p w:rsidR="009D0640" w:rsidRDefault="009D0640" w:rsidP="009D0640">
            <w:pPr>
              <w:wordWrap w:val="0"/>
              <w:autoSpaceDE w:val="0"/>
              <w:autoSpaceDN w:val="0"/>
              <w:snapToGrid w:val="0"/>
              <w:spacing w:line="290" w:lineRule="atLeast"/>
              <w:rPr>
                <w:rFonts w:ascii="SimSun" w:eastAsia="SimSun" w:hAnsi="SimSun" w:hint="eastAsia"/>
                <w:szCs w:val="21"/>
              </w:rPr>
            </w:pPr>
            <w:r w:rsidRPr="009D0640">
              <w:rPr>
                <w:rFonts w:ascii="SimSun" w:eastAsia="SimSun" w:hAnsi="SimSun" w:hint="eastAsia"/>
                <w:szCs w:val="21"/>
              </w:rPr>
              <w:t>（三）不得用于向非关联企业发放贷款，经营范围明确许可的情形除外；</w:t>
            </w:r>
          </w:p>
          <w:p w:rsidR="009D0640" w:rsidRPr="009D0640" w:rsidRDefault="009D0640" w:rsidP="009D0640">
            <w:pPr>
              <w:wordWrap w:val="0"/>
              <w:autoSpaceDE w:val="0"/>
              <w:autoSpaceDN w:val="0"/>
              <w:snapToGrid w:val="0"/>
              <w:spacing w:line="290" w:lineRule="atLeast"/>
              <w:rPr>
                <w:rFonts w:ascii="SimSun" w:eastAsia="SimSun" w:hAnsi="SimSun"/>
                <w:szCs w:val="21"/>
              </w:rPr>
            </w:pP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（四）不得用于建设、购买非自用房地产（房地产企业除外）。</w:t>
            </w:r>
          </w:p>
          <w:p w:rsidR="009D0640" w:rsidRPr="009D0640" w:rsidRDefault="009D0640" w:rsidP="009D0640">
            <w:pPr>
              <w:wordWrap w:val="0"/>
              <w:autoSpaceDE w:val="0"/>
              <w:autoSpaceDN w:val="0"/>
              <w:snapToGrid w:val="0"/>
              <w:spacing w:line="290" w:lineRule="atLeast"/>
              <w:rPr>
                <w:rFonts w:ascii="SimSun" w:eastAsia="SimSun" w:hAnsi="SimSun"/>
                <w:spacing w:val="12"/>
                <w:szCs w:val="21"/>
              </w:rPr>
            </w:pPr>
            <w:r w:rsidRPr="009D0640">
              <w:rPr>
                <w:rFonts w:ascii="SimSun" w:eastAsia="SimSun" w:hAnsi="SimSun" w:hint="eastAsia"/>
                <w:spacing w:val="12"/>
                <w:szCs w:val="21"/>
              </w:rPr>
              <w:t>境内机构与其他当事人之间对资本项目收入使用范围存在合同约定的，不得超出该合同约定的范围使用相关资金。除另有规定外，境内机构与其他当事人之间的合同约定不应与本通知存在冲突。</w:t>
            </w:r>
          </w:p>
          <w:p w:rsidR="009D0640" w:rsidRPr="009D0640" w:rsidRDefault="009D0640" w:rsidP="009D0640">
            <w:pPr>
              <w:wordWrap w:val="0"/>
              <w:autoSpaceDE w:val="0"/>
              <w:autoSpaceDN w:val="0"/>
              <w:snapToGrid w:val="0"/>
              <w:spacing w:line="290" w:lineRule="atLeast"/>
              <w:rPr>
                <w:rFonts w:ascii="SimSun" w:eastAsia="SimSun" w:hAnsi="SimSun"/>
                <w:szCs w:val="21"/>
              </w:rPr>
            </w:pP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五、规范资本项目收入及其结汇资金的支付管理</w:t>
            </w: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（一）</w:t>
            </w:r>
            <w:r w:rsidRPr="009D0640">
              <w:rPr>
                <w:rFonts w:ascii="SimSun" w:eastAsia="SimSun" w:hAnsi="SimSun" w:hint="eastAsia"/>
                <w:spacing w:val="6"/>
                <w:szCs w:val="21"/>
              </w:rPr>
              <w:t>境内机构使用资本项目收入办理结汇和支付时，均应填写《资本项目账户资金支付命令函》（见附件）。</w:t>
            </w:r>
            <w:r w:rsidRPr="009D0640">
              <w:rPr>
                <w:rFonts w:ascii="SimSun" w:eastAsia="SimSun" w:hAnsi="SimSun" w:hint="eastAsia"/>
                <w:spacing w:val="6"/>
                <w:szCs w:val="21"/>
              </w:rPr>
              <w:lastRenderedPageBreak/>
              <w:t>结汇所得人民币资金直接划入结汇待支付账户的，境内机构不需要向银行提供资金用途证明材料。境内机构申请使用资本项目收入办理支付（包括结汇后不进入结汇待支付账户而是直接办理对外支付、从结汇待支付账户办理人民币对外支付或直接从资本项目外汇账户办理对外付汇）时，应如实向银行提供与资金用途相关的真实性证明材料。</w:t>
            </w: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（二）</w:t>
            </w:r>
            <w:r w:rsidRPr="009D0640">
              <w:rPr>
                <w:rFonts w:ascii="SimSun" w:eastAsia="SimSun" w:hAnsi="SimSun" w:hint="eastAsia"/>
                <w:spacing w:val="6"/>
                <w:szCs w:val="21"/>
              </w:rPr>
              <w:t>银行应履行“了解客户”、“了解业务”、“尽职审查”等展业原则，在为境内机构办理资本项目收入结汇和支付时承担真实性审核责任。在办理每一笔资金支付时，均应审核前一笔支付证明材料的真实性与合规性。银行应留存境内机构资本项目外汇收入结汇及使用的相关证明材料</w:t>
            </w:r>
            <w:r w:rsidRPr="009D0640">
              <w:rPr>
                <w:rFonts w:ascii="SimSun" w:eastAsia="SimSun" w:hAnsi="SimSun"/>
                <w:spacing w:val="6"/>
                <w:szCs w:val="21"/>
              </w:rPr>
              <w:t>5</w:t>
            </w:r>
            <w:r w:rsidRPr="009D0640">
              <w:rPr>
                <w:rFonts w:ascii="SimSun" w:eastAsia="SimSun" w:hAnsi="SimSun" w:hint="eastAsia"/>
                <w:spacing w:val="6"/>
                <w:szCs w:val="21"/>
              </w:rPr>
              <w:t>年备查。</w:t>
            </w: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银行应按照《国家外汇管理局关于发布</w:t>
            </w:r>
            <w:r w:rsidRPr="009D0640">
              <w:rPr>
                <w:rFonts w:ascii="SimSun" w:eastAsia="SimSun" w:hAnsi="SimSun"/>
                <w:szCs w:val="21"/>
              </w:rPr>
              <w:t>&lt;</w:t>
            </w:r>
            <w:r w:rsidRPr="009D0640">
              <w:rPr>
                <w:rFonts w:ascii="SimSun" w:eastAsia="SimSun" w:hAnsi="SimSun" w:hint="eastAsia"/>
                <w:szCs w:val="21"/>
              </w:rPr>
              <w:t>金融机构外汇业务数据采集规范（</w:t>
            </w:r>
            <w:r w:rsidRPr="009D0640">
              <w:rPr>
                <w:rFonts w:ascii="SimSun" w:eastAsia="SimSun" w:hAnsi="SimSun"/>
                <w:szCs w:val="21"/>
              </w:rPr>
              <w:t>1.0</w:t>
            </w:r>
            <w:r w:rsidRPr="009D0640">
              <w:rPr>
                <w:rFonts w:ascii="SimSun" w:eastAsia="SimSun" w:hAnsi="SimSun" w:hint="eastAsia"/>
                <w:szCs w:val="21"/>
              </w:rPr>
              <w:t>版）</w:t>
            </w:r>
            <w:r w:rsidRPr="009D0640">
              <w:rPr>
                <w:rFonts w:ascii="SimSun" w:eastAsia="SimSun" w:hAnsi="SimSun"/>
                <w:szCs w:val="21"/>
              </w:rPr>
              <w:t>&gt;</w:t>
            </w:r>
            <w:r w:rsidRPr="009D0640">
              <w:rPr>
                <w:rFonts w:ascii="SimSun" w:eastAsia="SimSun" w:hAnsi="SimSun" w:hint="eastAsia"/>
                <w:szCs w:val="21"/>
              </w:rPr>
              <w:t>的通知》（汇发〔</w:t>
            </w:r>
            <w:r w:rsidRPr="009D0640">
              <w:rPr>
                <w:rFonts w:ascii="SimSun" w:eastAsia="SimSun" w:hAnsi="SimSun"/>
                <w:szCs w:val="21"/>
              </w:rPr>
              <w:t>2014〕18</w:t>
            </w:r>
            <w:r w:rsidRPr="009D0640">
              <w:rPr>
                <w:rFonts w:ascii="SimSun" w:eastAsia="SimSun" w:hAnsi="SimSun" w:hint="eastAsia"/>
                <w:szCs w:val="21"/>
              </w:rPr>
              <w:t>号）的要求，及时报送与资本金账户、境内资产变现账户、境内再投资账户、外债专用账户、境外上市专用账户、其他类型的资本项目账户、结汇待支付账户（账户性质代码</w:t>
            </w:r>
            <w:r w:rsidRPr="009D0640">
              <w:rPr>
                <w:rFonts w:ascii="SimSun" w:eastAsia="SimSun" w:hAnsi="SimSun"/>
                <w:szCs w:val="21"/>
              </w:rPr>
              <w:t>2113）</w:t>
            </w:r>
            <w:r w:rsidRPr="009D0640">
              <w:rPr>
                <w:rFonts w:ascii="SimSun" w:eastAsia="SimSun" w:hAnsi="SimSun" w:hint="eastAsia"/>
                <w:szCs w:val="21"/>
              </w:rPr>
              <w:t>有关的账户、跨境收支、境内划转、账户内结售汇等信息。其中，结汇待支付账户与其他人民币账户之间的资金划转，应通过填写境内收付款凭证报送境内划转信息，并在“发票号”栏中填写资金用途代码（按照汇发〔</w:t>
            </w:r>
            <w:r w:rsidRPr="009D0640">
              <w:rPr>
                <w:rFonts w:ascii="SimSun" w:eastAsia="SimSun" w:hAnsi="SimSun"/>
                <w:szCs w:val="21"/>
              </w:rPr>
              <w:t>2014〕18</w:t>
            </w:r>
            <w:r w:rsidRPr="009D0640">
              <w:rPr>
                <w:rFonts w:ascii="SimSun" w:eastAsia="SimSun" w:hAnsi="SimSun" w:hint="eastAsia"/>
                <w:szCs w:val="21"/>
              </w:rPr>
              <w:t>号文件中“</w:t>
            </w:r>
            <w:r w:rsidRPr="009D0640">
              <w:rPr>
                <w:rFonts w:ascii="SimSun" w:eastAsia="SimSun" w:hAnsi="SimSun"/>
                <w:szCs w:val="21"/>
              </w:rPr>
              <w:t>7.10</w:t>
            </w:r>
            <w:r w:rsidRPr="009D0640">
              <w:rPr>
                <w:rFonts w:ascii="SimSun" w:eastAsia="SimSun" w:hAnsi="SimSun" w:hint="eastAsia"/>
                <w:szCs w:val="21"/>
              </w:rPr>
              <w:t>结汇用途代码”填写</w:t>
            </w:r>
            <w:r w:rsidRPr="009D0640">
              <w:rPr>
                <w:rFonts w:ascii="SimSun" w:eastAsia="SimSun" w:hAnsi="SimSun"/>
                <w:szCs w:val="21"/>
              </w:rPr>
              <w:t>）；</w:t>
            </w:r>
            <w:r w:rsidRPr="009D0640">
              <w:rPr>
                <w:rFonts w:ascii="SimSun" w:eastAsia="SimSun" w:hAnsi="SimSun" w:hint="eastAsia"/>
                <w:szCs w:val="21"/>
              </w:rPr>
              <w:t>除货物贸易核查项下的支付，其他划转的交易编码均填写为“</w:t>
            </w:r>
            <w:r w:rsidRPr="009D0640">
              <w:rPr>
                <w:rFonts w:ascii="SimSun" w:eastAsia="SimSun" w:hAnsi="SimSun"/>
                <w:szCs w:val="21"/>
              </w:rPr>
              <w:t>929070”。</w:t>
            </w:r>
          </w:p>
          <w:p w:rsidR="009D0640" w:rsidRDefault="009D0640" w:rsidP="009D0640">
            <w:pPr>
              <w:wordWrap w:val="0"/>
              <w:autoSpaceDE w:val="0"/>
              <w:autoSpaceDN w:val="0"/>
              <w:snapToGrid w:val="0"/>
              <w:spacing w:line="290" w:lineRule="atLeast"/>
              <w:rPr>
                <w:rFonts w:ascii="SimSun" w:eastAsia="SimSun" w:hAnsi="SimSun" w:hint="eastAsia"/>
                <w:spacing w:val="10"/>
                <w:szCs w:val="21"/>
              </w:rPr>
            </w:pPr>
            <w:r w:rsidRPr="009D0640">
              <w:rPr>
                <w:rFonts w:ascii="SimSun" w:eastAsia="SimSun" w:hAnsi="SimSun" w:hint="eastAsia"/>
                <w:szCs w:val="21"/>
              </w:rPr>
              <w:t>（三）</w:t>
            </w:r>
            <w:r w:rsidRPr="009D0640">
              <w:rPr>
                <w:rFonts w:ascii="SimSun" w:eastAsia="SimSun" w:hAnsi="SimSun" w:hint="eastAsia"/>
                <w:spacing w:val="10"/>
                <w:szCs w:val="21"/>
              </w:rPr>
              <w:t>对于境内机构确有特殊原因暂时无法提供真实性证明材料的，银行可在履行尽职审查义务、确定交易具备真实交易背景的前提下为其办理相关支付，并应于办理业务当日通过外汇局相关业务系统向外汇局提交特殊事项备案。银行应在支付完毕后</w:t>
            </w:r>
            <w:r w:rsidRPr="009D0640">
              <w:rPr>
                <w:rFonts w:ascii="SimSun" w:eastAsia="SimSun" w:hAnsi="SimSun"/>
                <w:spacing w:val="10"/>
                <w:szCs w:val="21"/>
              </w:rPr>
              <w:t>20</w:t>
            </w:r>
            <w:r w:rsidRPr="009D0640">
              <w:rPr>
                <w:rFonts w:ascii="SimSun" w:eastAsia="SimSun" w:hAnsi="SimSun" w:hint="eastAsia"/>
                <w:spacing w:val="10"/>
                <w:szCs w:val="21"/>
              </w:rPr>
              <w:t>个工作日内收齐并审核境内机构补交的相关证明材料，并通过相关业务系统向外汇局报告特殊事项备案业务的真</w:t>
            </w:r>
            <w:r w:rsidRPr="009D0640">
              <w:rPr>
                <w:rFonts w:ascii="SimSun" w:eastAsia="SimSun" w:hAnsi="SimSun" w:hint="eastAsia"/>
                <w:spacing w:val="10"/>
                <w:szCs w:val="21"/>
              </w:rPr>
              <w:lastRenderedPageBreak/>
              <w:t>实性证明材料补交情况。</w:t>
            </w:r>
          </w:p>
          <w:p w:rsidR="009D0640" w:rsidRDefault="009D0640" w:rsidP="009D0640">
            <w:pPr>
              <w:wordWrap w:val="0"/>
              <w:autoSpaceDE w:val="0"/>
              <w:autoSpaceDN w:val="0"/>
              <w:snapToGrid w:val="0"/>
              <w:spacing w:line="290" w:lineRule="atLeast"/>
              <w:rPr>
                <w:rFonts w:ascii="SimSun" w:eastAsia="SimSun" w:hAnsi="SimSun" w:hint="eastAsia"/>
                <w:spacing w:val="10"/>
                <w:szCs w:val="21"/>
              </w:rPr>
            </w:pPr>
          </w:p>
          <w:p w:rsidR="009D0640" w:rsidRPr="009D0640" w:rsidRDefault="009D0640" w:rsidP="009D0640">
            <w:pPr>
              <w:wordWrap w:val="0"/>
              <w:autoSpaceDE w:val="0"/>
              <w:autoSpaceDN w:val="0"/>
              <w:snapToGrid w:val="0"/>
              <w:spacing w:line="290" w:lineRule="atLeast"/>
              <w:rPr>
                <w:rFonts w:ascii="SimSun" w:eastAsia="SimSun" w:hAnsi="SimSun"/>
                <w:spacing w:val="10"/>
                <w:szCs w:val="21"/>
              </w:rPr>
            </w:pPr>
          </w:p>
          <w:p w:rsidR="009D0640" w:rsidRDefault="009D0640" w:rsidP="009D0640">
            <w:pPr>
              <w:wordWrap w:val="0"/>
              <w:autoSpaceDE w:val="0"/>
              <w:autoSpaceDN w:val="0"/>
              <w:snapToGrid w:val="0"/>
              <w:spacing w:line="290" w:lineRule="atLeast"/>
              <w:rPr>
                <w:rFonts w:ascii="SimSun" w:eastAsia="SimSun" w:hAnsi="SimSun" w:hint="eastAsia"/>
                <w:szCs w:val="21"/>
              </w:rPr>
            </w:pPr>
            <w:r w:rsidRPr="009D0640">
              <w:rPr>
                <w:rFonts w:ascii="SimSun" w:eastAsia="SimSun" w:hAnsi="SimSun" w:hint="eastAsia"/>
                <w:szCs w:val="21"/>
              </w:rPr>
              <w:t>对于境内机构以备用金名义使用资本项目收入的，银行可不要求其提供上述真实性证明材料。单一机构每月备用金（含意愿结汇和支付结汇）支付累计金额不得超过等值</w:t>
            </w:r>
            <w:r w:rsidRPr="009D0640">
              <w:rPr>
                <w:rFonts w:ascii="SimSun" w:eastAsia="SimSun" w:hAnsi="SimSun"/>
                <w:szCs w:val="21"/>
              </w:rPr>
              <w:t>20</w:t>
            </w:r>
            <w:r w:rsidRPr="009D0640">
              <w:rPr>
                <w:rFonts w:ascii="SimSun" w:eastAsia="SimSun" w:hAnsi="SimSun" w:hint="eastAsia"/>
                <w:szCs w:val="21"/>
              </w:rPr>
              <w:t>万美元。</w:t>
            </w:r>
          </w:p>
          <w:p w:rsidR="009D0640" w:rsidRPr="009D0640" w:rsidRDefault="009D0640" w:rsidP="009D0640">
            <w:pPr>
              <w:wordWrap w:val="0"/>
              <w:autoSpaceDE w:val="0"/>
              <w:autoSpaceDN w:val="0"/>
              <w:snapToGrid w:val="0"/>
              <w:spacing w:line="290" w:lineRule="atLeast"/>
              <w:rPr>
                <w:rFonts w:ascii="SimSun" w:eastAsia="SimSun" w:hAnsi="SimSun"/>
                <w:szCs w:val="21"/>
              </w:rPr>
            </w:pP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对于申请一次性将全部资本项目外汇收入支付结汇或将结汇待支付账户中全部人民币资金进行支付的境内机构，如不能提供相关真实性证明材料，银行不得为其办理结汇、支付。</w:t>
            </w:r>
          </w:p>
          <w:p w:rsidR="009D0640" w:rsidRDefault="009D0640" w:rsidP="009D0640">
            <w:pPr>
              <w:wordWrap w:val="0"/>
              <w:autoSpaceDE w:val="0"/>
              <w:autoSpaceDN w:val="0"/>
              <w:snapToGrid w:val="0"/>
              <w:spacing w:line="290" w:lineRule="atLeast"/>
              <w:rPr>
                <w:rFonts w:ascii="SimSun" w:eastAsia="SimSun" w:hAnsi="SimSun" w:hint="eastAsia"/>
                <w:szCs w:val="21"/>
              </w:rPr>
            </w:pPr>
          </w:p>
          <w:p w:rsidR="009D0640" w:rsidRPr="009D0640" w:rsidRDefault="009D0640" w:rsidP="009D0640">
            <w:pPr>
              <w:wordWrap w:val="0"/>
              <w:autoSpaceDE w:val="0"/>
              <w:autoSpaceDN w:val="0"/>
              <w:snapToGrid w:val="0"/>
              <w:spacing w:line="290" w:lineRule="atLeast"/>
              <w:rPr>
                <w:rFonts w:ascii="SimSun" w:eastAsia="SimSun" w:hAnsi="SimSun"/>
                <w:szCs w:val="21"/>
              </w:rPr>
            </w:pP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六、进一步强化外汇局事后监管与违规查处</w:t>
            </w: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（一）外汇局应根据《中华人民共和国外汇管理条例》（国务院令第</w:t>
            </w:r>
            <w:r w:rsidRPr="009D0640">
              <w:rPr>
                <w:rFonts w:ascii="SimSun" w:eastAsia="SimSun" w:hAnsi="SimSun"/>
                <w:szCs w:val="21"/>
              </w:rPr>
              <w:t>532</w:t>
            </w:r>
            <w:r w:rsidRPr="009D0640">
              <w:rPr>
                <w:rFonts w:ascii="SimSun" w:eastAsia="SimSun" w:hAnsi="SimSun" w:hint="eastAsia"/>
                <w:szCs w:val="21"/>
              </w:rPr>
              <w:t>号）、《国家外汇管理局关于发布</w:t>
            </w:r>
            <w:r w:rsidRPr="009D0640">
              <w:rPr>
                <w:rFonts w:ascii="SimSun" w:eastAsia="SimSun" w:hAnsi="SimSun"/>
                <w:szCs w:val="21"/>
              </w:rPr>
              <w:t>&lt;</w:t>
            </w:r>
            <w:r w:rsidRPr="009D0640">
              <w:rPr>
                <w:rFonts w:ascii="SimSun" w:eastAsia="SimSun" w:hAnsi="SimSun" w:hint="eastAsia"/>
                <w:szCs w:val="21"/>
              </w:rPr>
              <w:t>外债登记管理办法</w:t>
            </w:r>
            <w:r w:rsidRPr="009D0640">
              <w:rPr>
                <w:rFonts w:ascii="SimSun" w:eastAsia="SimSun" w:hAnsi="SimSun"/>
                <w:szCs w:val="21"/>
              </w:rPr>
              <w:t>&gt;</w:t>
            </w:r>
            <w:r w:rsidRPr="009D0640">
              <w:rPr>
                <w:rFonts w:ascii="SimSun" w:eastAsia="SimSun" w:hAnsi="SimSun" w:hint="eastAsia"/>
                <w:szCs w:val="21"/>
              </w:rPr>
              <w:t>的通知》（汇发〔</w:t>
            </w:r>
            <w:r w:rsidRPr="009D0640">
              <w:rPr>
                <w:rFonts w:ascii="SimSun" w:eastAsia="SimSun" w:hAnsi="SimSun"/>
                <w:szCs w:val="21"/>
              </w:rPr>
              <w:t>2013〕19</w:t>
            </w:r>
            <w:r w:rsidRPr="009D0640">
              <w:rPr>
                <w:rFonts w:ascii="SimSun" w:eastAsia="SimSun" w:hAnsi="SimSun" w:hint="eastAsia"/>
                <w:szCs w:val="21"/>
              </w:rPr>
              <w:t>号）、《国家外汇管理局关于印发</w:t>
            </w:r>
            <w:r w:rsidRPr="009D0640">
              <w:rPr>
                <w:rFonts w:ascii="SimSun" w:eastAsia="SimSun" w:hAnsi="SimSun"/>
                <w:szCs w:val="21"/>
              </w:rPr>
              <w:t>&lt;</w:t>
            </w:r>
            <w:r w:rsidRPr="009D0640">
              <w:rPr>
                <w:rFonts w:ascii="SimSun" w:eastAsia="SimSun" w:hAnsi="SimSun" w:hint="eastAsia"/>
                <w:szCs w:val="21"/>
              </w:rPr>
              <w:t>外国投资者境内直接投资外汇管理规定</w:t>
            </w:r>
            <w:r w:rsidRPr="009D0640">
              <w:rPr>
                <w:rFonts w:ascii="SimSun" w:eastAsia="SimSun" w:hAnsi="SimSun"/>
                <w:szCs w:val="21"/>
              </w:rPr>
              <w:t>&gt;</w:t>
            </w:r>
            <w:r w:rsidRPr="009D0640">
              <w:rPr>
                <w:rFonts w:ascii="SimSun" w:eastAsia="SimSun" w:hAnsi="SimSun" w:hint="eastAsia"/>
                <w:szCs w:val="21"/>
              </w:rPr>
              <w:t>及配套文件的通知》（汇发〔</w:t>
            </w:r>
            <w:r w:rsidRPr="009D0640">
              <w:rPr>
                <w:rFonts w:ascii="SimSun" w:eastAsia="SimSun" w:hAnsi="SimSun"/>
                <w:szCs w:val="21"/>
              </w:rPr>
              <w:t>2013〕21</w:t>
            </w:r>
            <w:r w:rsidRPr="009D0640">
              <w:rPr>
                <w:rFonts w:ascii="SimSun" w:eastAsia="SimSun" w:hAnsi="SimSun" w:hint="eastAsia"/>
                <w:szCs w:val="21"/>
              </w:rPr>
              <w:t>号）、《国家外汇管理局关于境外上市外汇管理有关问题的通知》（汇发〔</w:t>
            </w:r>
            <w:r w:rsidRPr="009D0640">
              <w:rPr>
                <w:rFonts w:ascii="SimSun" w:eastAsia="SimSun" w:hAnsi="SimSun"/>
                <w:szCs w:val="21"/>
              </w:rPr>
              <w:t>2014〕54</w:t>
            </w:r>
            <w:r w:rsidRPr="009D0640">
              <w:rPr>
                <w:rFonts w:ascii="SimSun" w:eastAsia="SimSun" w:hAnsi="SimSun" w:hint="eastAsia"/>
                <w:szCs w:val="21"/>
              </w:rPr>
              <w:t>号）等有关规定加强对银行办理境内机构资本项目收入结汇和支付使用等业务合规性的指导和核查。核查的方式包括要求相关业务主体提供书面说明和业务材料、约谈负责人、现场查阅或复制业务主体相关资料、通报违规情况等。</w:t>
            </w:r>
          </w:p>
          <w:p w:rsidR="009D0640" w:rsidRDefault="009D0640" w:rsidP="009D0640">
            <w:pPr>
              <w:wordWrap w:val="0"/>
              <w:autoSpaceDE w:val="0"/>
              <w:autoSpaceDN w:val="0"/>
              <w:snapToGrid w:val="0"/>
              <w:spacing w:line="290" w:lineRule="atLeast"/>
              <w:rPr>
                <w:rFonts w:ascii="SimSun" w:eastAsia="SimSun" w:hAnsi="SimSun" w:hint="eastAsia"/>
                <w:spacing w:val="20"/>
                <w:szCs w:val="21"/>
              </w:rPr>
            </w:pPr>
            <w:r w:rsidRPr="009D0640">
              <w:rPr>
                <w:rFonts w:ascii="SimSun" w:eastAsia="SimSun" w:hAnsi="SimSun" w:hint="eastAsia"/>
                <w:szCs w:val="21"/>
              </w:rPr>
              <w:t>（二）</w:t>
            </w:r>
            <w:r w:rsidRPr="003C1E6E">
              <w:rPr>
                <w:rFonts w:ascii="SimSun" w:eastAsia="SimSun" w:hAnsi="SimSun" w:hint="eastAsia"/>
                <w:spacing w:val="20"/>
                <w:szCs w:val="21"/>
              </w:rPr>
              <w:t>对于违反本通知办理资本项目收入结汇和支付使用等业务的境内机构和银行，外汇局依据《中华人民共和国外汇管理条例》及有关规定予以查处。对于严重、恶意违规的银行可依法暂停其资本项下结售汇业务办理。对于严重、恶意违规的境内机构可依法暂停其办理意愿结汇资格或在外汇局资本项目信息系统中对其进行业务管控，且在其提交书面说明函并进行相应整改前，</w:t>
            </w:r>
            <w:r w:rsidRPr="003C1E6E">
              <w:rPr>
                <w:rFonts w:ascii="SimSun" w:eastAsia="SimSun" w:hAnsi="SimSun" w:hint="eastAsia"/>
                <w:spacing w:val="20"/>
                <w:szCs w:val="21"/>
              </w:rPr>
              <w:lastRenderedPageBreak/>
              <w:t>不得为其办理其他资本项下业务或取消业务管控。</w:t>
            </w:r>
          </w:p>
          <w:p w:rsidR="003C1E6E" w:rsidRPr="003C1E6E" w:rsidRDefault="003C1E6E" w:rsidP="009D0640">
            <w:pPr>
              <w:wordWrap w:val="0"/>
              <w:autoSpaceDE w:val="0"/>
              <w:autoSpaceDN w:val="0"/>
              <w:snapToGrid w:val="0"/>
              <w:spacing w:line="290" w:lineRule="atLeast"/>
              <w:rPr>
                <w:rFonts w:ascii="SimSun" w:eastAsia="SimSun" w:hAnsi="SimSun"/>
                <w:spacing w:val="8"/>
                <w:szCs w:val="21"/>
              </w:rPr>
            </w:pPr>
          </w:p>
          <w:p w:rsidR="009D0640"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本通知自发布之日起实施。《国家外汇管理局关于发布</w:t>
            </w:r>
            <w:r w:rsidRPr="009D0640">
              <w:rPr>
                <w:rFonts w:ascii="SimSun" w:eastAsia="SimSun" w:hAnsi="SimSun"/>
                <w:szCs w:val="21"/>
              </w:rPr>
              <w:t>&lt;</w:t>
            </w:r>
            <w:r w:rsidRPr="009D0640">
              <w:rPr>
                <w:rFonts w:ascii="SimSun" w:eastAsia="SimSun" w:hAnsi="SimSun" w:hint="eastAsia"/>
                <w:szCs w:val="21"/>
              </w:rPr>
              <w:t>外债登记管理办法</w:t>
            </w:r>
            <w:r w:rsidRPr="009D0640">
              <w:rPr>
                <w:rFonts w:ascii="SimSun" w:eastAsia="SimSun" w:hAnsi="SimSun"/>
                <w:szCs w:val="21"/>
              </w:rPr>
              <w:t>&gt;</w:t>
            </w:r>
            <w:r w:rsidRPr="009D0640">
              <w:rPr>
                <w:rFonts w:ascii="SimSun" w:eastAsia="SimSun" w:hAnsi="SimSun" w:hint="eastAsia"/>
                <w:szCs w:val="21"/>
              </w:rPr>
              <w:t>的通知》（汇发〔</w:t>
            </w:r>
            <w:r w:rsidRPr="009D0640">
              <w:rPr>
                <w:rFonts w:ascii="SimSun" w:eastAsia="SimSun" w:hAnsi="SimSun"/>
                <w:szCs w:val="21"/>
              </w:rPr>
              <w:t>2013〕19</w:t>
            </w:r>
            <w:r w:rsidRPr="009D0640">
              <w:rPr>
                <w:rFonts w:ascii="SimSun" w:eastAsia="SimSun" w:hAnsi="SimSun" w:hint="eastAsia"/>
                <w:szCs w:val="21"/>
              </w:rPr>
              <w:t>号）、《国家外汇管理局关于境外上市外汇管理有关问题的通知》（汇发〔</w:t>
            </w:r>
            <w:r w:rsidRPr="009D0640">
              <w:rPr>
                <w:rFonts w:ascii="SimSun" w:eastAsia="SimSun" w:hAnsi="SimSun"/>
                <w:szCs w:val="21"/>
              </w:rPr>
              <w:t>2014〕54</w:t>
            </w:r>
            <w:r w:rsidRPr="009D0640">
              <w:rPr>
                <w:rFonts w:ascii="SimSun" w:eastAsia="SimSun" w:hAnsi="SimSun" w:hint="eastAsia"/>
                <w:szCs w:val="21"/>
              </w:rPr>
              <w:t>号）、《国家外汇管理局关于改革外商投资企业外汇资本金结汇管理方式的通知》（汇发〔</w:t>
            </w:r>
            <w:r w:rsidRPr="009D0640">
              <w:rPr>
                <w:rFonts w:ascii="SimSun" w:eastAsia="SimSun" w:hAnsi="SimSun"/>
                <w:szCs w:val="21"/>
              </w:rPr>
              <w:t>2015〕19</w:t>
            </w:r>
            <w:r w:rsidRPr="009D0640">
              <w:rPr>
                <w:rFonts w:ascii="SimSun" w:eastAsia="SimSun" w:hAnsi="SimSun" w:hint="eastAsia"/>
                <w:szCs w:val="21"/>
              </w:rPr>
              <w:t>号）、《国家外汇管理局关于印发</w:t>
            </w:r>
            <w:r w:rsidRPr="009D0640">
              <w:rPr>
                <w:rFonts w:ascii="SimSun" w:eastAsia="SimSun" w:hAnsi="SimSun"/>
                <w:szCs w:val="21"/>
              </w:rPr>
              <w:t>&lt;</w:t>
            </w:r>
            <w:r w:rsidRPr="009D0640">
              <w:rPr>
                <w:rFonts w:ascii="SimSun" w:eastAsia="SimSun" w:hAnsi="SimSun" w:hint="eastAsia"/>
                <w:szCs w:val="21"/>
              </w:rPr>
              <w:t>跨国公司外汇资金集中运营管理规定</w:t>
            </w:r>
            <w:r w:rsidRPr="009D0640">
              <w:rPr>
                <w:rFonts w:ascii="SimSun" w:eastAsia="SimSun" w:hAnsi="SimSun"/>
                <w:szCs w:val="21"/>
              </w:rPr>
              <w:t>&gt;</w:t>
            </w:r>
            <w:r w:rsidRPr="009D0640">
              <w:rPr>
                <w:rFonts w:ascii="SimSun" w:eastAsia="SimSun" w:hAnsi="SimSun" w:hint="eastAsia"/>
                <w:szCs w:val="21"/>
              </w:rPr>
              <w:t>的通知》（汇发〔</w:t>
            </w:r>
            <w:r w:rsidRPr="009D0640">
              <w:rPr>
                <w:rFonts w:ascii="SimSun" w:eastAsia="SimSun" w:hAnsi="SimSun"/>
                <w:szCs w:val="21"/>
              </w:rPr>
              <w:t>2015〕36</w:t>
            </w:r>
            <w:r w:rsidRPr="009D0640">
              <w:rPr>
                <w:rFonts w:ascii="SimSun" w:eastAsia="SimSun" w:hAnsi="SimSun" w:hint="eastAsia"/>
                <w:szCs w:val="21"/>
              </w:rPr>
              <w:t>号）等此前规定与本通知内容不一致的，以本通知为准。</w:t>
            </w:r>
          </w:p>
          <w:p w:rsidR="00F6633C" w:rsidRPr="009D0640" w:rsidRDefault="009D0640" w:rsidP="009D0640">
            <w:pPr>
              <w:wordWrap w:val="0"/>
              <w:autoSpaceDE w:val="0"/>
              <w:autoSpaceDN w:val="0"/>
              <w:snapToGrid w:val="0"/>
              <w:spacing w:line="290" w:lineRule="atLeast"/>
              <w:rPr>
                <w:rFonts w:ascii="SimSun" w:eastAsia="SimSun" w:hAnsi="SimSun"/>
                <w:szCs w:val="21"/>
              </w:rPr>
            </w:pPr>
            <w:r w:rsidRPr="009D0640">
              <w:rPr>
                <w:rFonts w:ascii="SimSun" w:eastAsia="SimSun" w:hAnsi="SimSun" w:hint="eastAsia"/>
                <w:szCs w:val="21"/>
              </w:rPr>
              <w:t>国家外汇管理局各分局、外汇管理部接到本通知后，应及时转发辖内中心支局、支局、城市商业银行及外资银行。各中资外汇指定银行收到本通知后，应尽快转发所辖分支行。执行中如遇问题，请及时向国家外汇管理局资本项目管理司反映。</w:t>
            </w:r>
          </w:p>
          <w:p w:rsidR="007A34FC" w:rsidRPr="00F6633C" w:rsidRDefault="00F6633C" w:rsidP="009D0640">
            <w:pPr>
              <w:wordWrap w:val="0"/>
              <w:autoSpaceDE w:val="0"/>
              <w:autoSpaceDN w:val="0"/>
              <w:snapToGrid w:val="0"/>
              <w:spacing w:line="290" w:lineRule="atLeast"/>
              <w:rPr>
                <w:rFonts w:ascii="SimSun" w:eastAsia="SimSun" w:hAnsi="SimSun"/>
                <w:szCs w:val="21"/>
              </w:rPr>
            </w:pPr>
            <w:r w:rsidRPr="00F6633C">
              <w:rPr>
                <w:rFonts w:ascii="SimSun" w:eastAsia="SimSun" w:hAnsi="SimSun" w:hint="eastAsia"/>
                <w:szCs w:val="21"/>
              </w:rPr>
              <w:t xml:space="preserve">　　</w:t>
            </w:r>
            <w:r w:rsidR="00D44DCD" w:rsidRPr="00F6633C">
              <w:rPr>
                <w:rFonts w:ascii="SimSun" w:eastAsia="SimSun" w:hAnsi="SimSun"/>
                <w:szCs w:val="21"/>
              </w:rPr>
              <w:t xml:space="preserve"> </w:t>
            </w:r>
          </w:p>
          <w:p w:rsidR="00820E98" w:rsidRPr="00820E98" w:rsidRDefault="00820E98" w:rsidP="007A34FC">
            <w:pPr>
              <w:wordWrap w:val="0"/>
              <w:autoSpaceDE w:val="0"/>
              <w:autoSpaceDN w:val="0"/>
              <w:snapToGrid w:val="0"/>
              <w:spacing w:line="290" w:lineRule="atLeast"/>
              <w:jc w:val="right"/>
              <w:rPr>
                <w:rFonts w:ascii="SimSun" w:eastAsia="SimSun" w:hAnsi="SimSun"/>
                <w:szCs w:val="21"/>
              </w:rPr>
            </w:pPr>
          </w:p>
          <w:p w:rsidR="003C1E6E" w:rsidRPr="00462DC8" w:rsidRDefault="003C1E6E" w:rsidP="003C1E6E">
            <w:pPr>
              <w:spacing w:line="360" w:lineRule="auto"/>
            </w:pPr>
            <w:r>
              <w:t xml:space="preserve">附件: </w:t>
            </w:r>
            <w:hyperlink r:id="rId8" w:tgtFrame="_blank" w:history="1">
              <w:r>
                <w:rPr>
                  <w:rStyle w:val="a7"/>
                  <w:szCs w:val="21"/>
                </w:rPr>
                <w:t>资本项目账户资金支付命令函</w:t>
              </w:r>
            </w:hyperlink>
          </w:p>
          <w:p w:rsidR="00B17270" w:rsidRPr="003C1E6E" w:rsidRDefault="00B17270" w:rsidP="00820E98">
            <w:pPr>
              <w:wordWrap w:val="0"/>
              <w:autoSpaceDE w:val="0"/>
              <w:autoSpaceDN w:val="0"/>
              <w:snapToGrid w:val="0"/>
              <w:spacing w:line="290" w:lineRule="atLeast"/>
              <w:jc w:val="left"/>
              <w:rPr>
                <w:rFonts w:ascii="SimSun" w:eastAsia="SimSun" w:hAnsi="SimSun"/>
                <w:szCs w:val="21"/>
              </w:rPr>
            </w:pPr>
          </w:p>
          <w:p w:rsidR="003C1E6E" w:rsidRPr="003C1E6E" w:rsidRDefault="00B17270" w:rsidP="003C1E6E">
            <w:pPr>
              <w:wordWrap w:val="0"/>
              <w:autoSpaceDE w:val="0"/>
              <w:autoSpaceDN w:val="0"/>
              <w:snapToGrid w:val="0"/>
              <w:spacing w:line="290" w:lineRule="atLeast"/>
              <w:jc w:val="right"/>
              <w:rPr>
                <w:rFonts w:ascii="SimSun" w:eastAsia="SimSun" w:hAnsi="SimSun"/>
                <w:szCs w:val="21"/>
              </w:rPr>
            </w:pPr>
            <w:r w:rsidRPr="00B17270">
              <w:rPr>
                <w:rFonts w:ascii="SimSun" w:eastAsia="SimSun" w:hAnsi="SimSun" w:hint="eastAsia"/>
                <w:szCs w:val="21"/>
              </w:rPr>
              <w:t xml:space="preserve">　　</w:t>
            </w:r>
            <w:r w:rsidR="003C1E6E">
              <w:rPr>
                <w:rFonts w:ascii="새굴림" w:eastAsia="새굴림" w:hAnsi="새굴림" w:cs="새굴림" w:hint="eastAsia"/>
              </w:rPr>
              <w:t xml:space="preserve"> </w:t>
            </w:r>
            <w:r w:rsidR="003C1E6E" w:rsidRPr="003C1E6E">
              <w:rPr>
                <w:rFonts w:ascii="SimSun" w:eastAsia="SimSun" w:hAnsi="SimSun" w:hint="eastAsia"/>
                <w:szCs w:val="21"/>
              </w:rPr>
              <w:t>国家外汇管理局</w:t>
            </w:r>
          </w:p>
          <w:p w:rsidR="00135A6C" w:rsidRPr="003C1E6E" w:rsidRDefault="003C1E6E" w:rsidP="003C1E6E">
            <w:pPr>
              <w:wordWrap w:val="0"/>
              <w:autoSpaceDE w:val="0"/>
              <w:autoSpaceDN w:val="0"/>
              <w:snapToGrid w:val="0"/>
              <w:spacing w:line="290" w:lineRule="atLeast"/>
              <w:jc w:val="right"/>
              <w:rPr>
                <w:rFonts w:ascii="SimSun" w:eastAsia="SimSun" w:hAnsi="SimSun"/>
                <w:szCs w:val="21"/>
              </w:rPr>
            </w:pPr>
            <w:r w:rsidRPr="003C1E6E">
              <w:rPr>
                <w:rFonts w:ascii="SimSun" w:eastAsia="SimSun" w:hAnsi="SimSun"/>
                <w:szCs w:val="21"/>
              </w:rPr>
              <w:t>2016</w:t>
            </w:r>
            <w:r w:rsidRPr="003C1E6E">
              <w:rPr>
                <w:rFonts w:ascii="SimSun" w:eastAsia="SimSun" w:hAnsi="SimSun" w:hint="eastAsia"/>
                <w:szCs w:val="21"/>
              </w:rPr>
              <w:t>年</w:t>
            </w:r>
            <w:r w:rsidRPr="003C1E6E">
              <w:rPr>
                <w:rFonts w:ascii="SimSun" w:eastAsia="SimSun" w:hAnsi="SimSun"/>
                <w:szCs w:val="21"/>
              </w:rPr>
              <w:t>6</w:t>
            </w:r>
            <w:r w:rsidRPr="003C1E6E">
              <w:rPr>
                <w:rFonts w:ascii="SimSun" w:eastAsia="SimSun" w:hAnsi="SimSun" w:hint="eastAsia"/>
                <w:szCs w:val="21"/>
              </w:rPr>
              <w:t>月</w:t>
            </w:r>
            <w:r w:rsidRPr="003C1E6E">
              <w:rPr>
                <w:rFonts w:ascii="SimSun" w:eastAsia="SimSun" w:hAnsi="SimSun"/>
                <w:szCs w:val="21"/>
              </w:rPr>
              <w:t>9</w:t>
            </w:r>
            <w:r w:rsidRPr="003C1E6E">
              <w:rPr>
                <w:rFonts w:ascii="SimSun" w:eastAsia="SimSun" w:hAnsi="SimSun" w:hint="eastAsia"/>
                <w:szCs w:val="21"/>
              </w:rPr>
              <w:t>日</w:t>
            </w:r>
          </w:p>
          <w:p w:rsidR="00DB5008" w:rsidRPr="00C32E2B" w:rsidRDefault="00DB5008" w:rsidP="00C32E2B">
            <w:pPr>
              <w:wordWrap w:val="0"/>
              <w:autoSpaceDE w:val="0"/>
              <w:autoSpaceDN w:val="0"/>
              <w:snapToGrid w:val="0"/>
              <w:spacing w:line="290" w:lineRule="atLeast"/>
              <w:rPr>
                <w:rFonts w:ascii="SimSun" w:eastAsia="SimSun" w:hAnsi="SimSun"/>
                <w:szCs w:val="21"/>
              </w:rPr>
            </w:pPr>
          </w:p>
        </w:tc>
      </w:tr>
    </w:tbl>
    <w:p w:rsidR="00100135" w:rsidRPr="00C32E2B" w:rsidRDefault="00100135">
      <w:pPr>
        <w:rPr>
          <w:rFonts w:eastAsia="SimSun"/>
        </w:rPr>
      </w:pPr>
    </w:p>
    <w:sectPr w:rsidR="00100135" w:rsidRPr="00C32E2B" w:rsidSect="00DB5008">
      <w:pgSz w:w="11906" w:h="16838"/>
      <w:pgMar w:top="1701" w:right="1418" w:bottom="1701" w:left="1418"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6F65" w:rsidRDefault="00A56F65" w:rsidP="00C278F4">
      <w:r>
        <w:separator/>
      </w:r>
    </w:p>
  </w:endnote>
  <w:endnote w:type="continuationSeparator" w:id="1">
    <w:p w:rsidR="00A56F65" w:rsidRDefault="00A56F65" w:rsidP="00C278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한컴바탕">
    <w:panose1 w:val="02030600000101010101"/>
    <w:charset w:val="81"/>
    <w:family w:val="roman"/>
    <w:pitch w:val="variable"/>
    <w:sig w:usb0="F7FFAFFF" w:usb1="FBDFFFFF" w:usb2="00FFFFFF" w:usb3="00000000" w:csb0="803F01FF" w:csb1="00000000"/>
  </w:font>
  <w:font w:name="Gulim">
    <w:altName w:val="Times New Roman"/>
    <w:panose1 w:val="00000000000000000000"/>
    <w:charset w:val="00"/>
    <w:family w:val="roman"/>
    <w:notTrueType/>
    <w:pitch w:val="default"/>
    <w:sig w:usb0="00000000" w:usb1="00000000" w:usb2="00000000" w:usb3="00000000" w:csb0="00000000" w:csb1="00000000"/>
  </w:font>
  <w:font w:name="Batang">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새굴림">
    <w:panose1 w:val="02030600000101010101"/>
    <w:charset w:val="81"/>
    <w:family w:val="roman"/>
    <w:pitch w:val="variable"/>
    <w:sig w:usb0="B00002AF" w:usb1="7B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6F65" w:rsidRDefault="00A56F65" w:rsidP="00C278F4">
      <w:r>
        <w:separator/>
      </w:r>
    </w:p>
  </w:footnote>
  <w:footnote w:type="continuationSeparator" w:id="1">
    <w:p w:rsidR="00A56F65" w:rsidRDefault="00A56F65" w:rsidP="00C278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77B"/>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nsid w:val="24865500"/>
    <w:multiLevelType w:val="hybridMultilevel"/>
    <w:tmpl w:val="970C4870"/>
    <w:lvl w:ilvl="0" w:tplc="D044515C">
      <w:start w:val="1"/>
      <w:numFmt w:val="japaneseCounting"/>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BD41229"/>
    <w:multiLevelType w:val="hybridMultilevel"/>
    <w:tmpl w:val="185CFE90"/>
    <w:lvl w:ilvl="0" w:tplc="F182A37A">
      <w:start w:val="1"/>
      <w:numFmt w:val="decimal"/>
      <w:lvlText w:val="(%1)"/>
      <w:lvlJc w:val="left"/>
      <w:pPr>
        <w:ind w:left="1200" w:hanging="8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2F213314"/>
    <w:multiLevelType w:val="hybridMultilevel"/>
    <w:tmpl w:val="6B38B8A0"/>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F632878"/>
    <w:multiLevelType w:val="hybridMultilevel"/>
    <w:tmpl w:val="99F4CE96"/>
    <w:lvl w:ilvl="0" w:tplc="427CF6FA">
      <w:start w:val="1"/>
      <w:numFmt w:val="decimal"/>
      <w:lvlText w:val="%1．"/>
      <w:lvlJc w:val="left"/>
      <w:pPr>
        <w:ind w:left="768" w:hanging="360"/>
      </w:pPr>
      <w:rPr>
        <w:rFonts w:cstheme="minorBidi" w:hint="default"/>
      </w:rPr>
    </w:lvl>
    <w:lvl w:ilvl="1" w:tplc="04090019" w:tentative="1">
      <w:start w:val="1"/>
      <w:numFmt w:val="upperLetter"/>
      <w:lvlText w:val="%2."/>
      <w:lvlJc w:val="left"/>
      <w:pPr>
        <w:ind w:left="1208" w:hanging="400"/>
      </w:pPr>
    </w:lvl>
    <w:lvl w:ilvl="2" w:tplc="0409001B" w:tentative="1">
      <w:start w:val="1"/>
      <w:numFmt w:val="lowerRoman"/>
      <w:lvlText w:val="%3."/>
      <w:lvlJc w:val="right"/>
      <w:pPr>
        <w:ind w:left="1608" w:hanging="400"/>
      </w:pPr>
    </w:lvl>
    <w:lvl w:ilvl="3" w:tplc="0409000F" w:tentative="1">
      <w:start w:val="1"/>
      <w:numFmt w:val="decimal"/>
      <w:lvlText w:val="%4."/>
      <w:lvlJc w:val="left"/>
      <w:pPr>
        <w:ind w:left="2008" w:hanging="400"/>
      </w:pPr>
    </w:lvl>
    <w:lvl w:ilvl="4" w:tplc="04090019" w:tentative="1">
      <w:start w:val="1"/>
      <w:numFmt w:val="upperLetter"/>
      <w:lvlText w:val="%5."/>
      <w:lvlJc w:val="left"/>
      <w:pPr>
        <w:ind w:left="2408" w:hanging="400"/>
      </w:pPr>
    </w:lvl>
    <w:lvl w:ilvl="5" w:tplc="0409001B" w:tentative="1">
      <w:start w:val="1"/>
      <w:numFmt w:val="lowerRoman"/>
      <w:lvlText w:val="%6."/>
      <w:lvlJc w:val="right"/>
      <w:pPr>
        <w:ind w:left="2808" w:hanging="400"/>
      </w:pPr>
    </w:lvl>
    <w:lvl w:ilvl="6" w:tplc="0409000F" w:tentative="1">
      <w:start w:val="1"/>
      <w:numFmt w:val="decimal"/>
      <w:lvlText w:val="%7."/>
      <w:lvlJc w:val="left"/>
      <w:pPr>
        <w:ind w:left="3208" w:hanging="400"/>
      </w:pPr>
    </w:lvl>
    <w:lvl w:ilvl="7" w:tplc="04090019" w:tentative="1">
      <w:start w:val="1"/>
      <w:numFmt w:val="upperLetter"/>
      <w:lvlText w:val="%8."/>
      <w:lvlJc w:val="left"/>
      <w:pPr>
        <w:ind w:left="3608" w:hanging="400"/>
      </w:pPr>
    </w:lvl>
    <w:lvl w:ilvl="8" w:tplc="0409001B" w:tentative="1">
      <w:start w:val="1"/>
      <w:numFmt w:val="lowerRoman"/>
      <w:lvlText w:val="%9."/>
      <w:lvlJc w:val="right"/>
      <w:pPr>
        <w:ind w:left="4008" w:hanging="400"/>
      </w:pPr>
    </w:lvl>
  </w:abstractNum>
  <w:abstractNum w:abstractNumId="5">
    <w:nsid w:val="2F7016F5"/>
    <w:multiLevelType w:val="hybridMultilevel"/>
    <w:tmpl w:val="9EF6C504"/>
    <w:lvl w:ilvl="0" w:tplc="B5CE5906">
      <w:start w:val="1"/>
      <w:numFmt w:val="japaneseCounting"/>
      <w:lvlText w:val="（%1）"/>
      <w:lvlJc w:val="left"/>
      <w:pPr>
        <w:ind w:left="1130" w:hanging="720"/>
      </w:pPr>
      <w:rPr>
        <w:rFonts w:hint="default"/>
      </w:rPr>
    </w:lvl>
    <w:lvl w:ilvl="1" w:tplc="04090019" w:tentative="1">
      <w:start w:val="1"/>
      <w:numFmt w:val="upperLetter"/>
      <w:lvlText w:val="%2."/>
      <w:lvlJc w:val="left"/>
      <w:pPr>
        <w:ind w:left="1210" w:hanging="400"/>
      </w:pPr>
    </w:lvl>
    <w:lvl w:ilvl="2" w:tplc="0409001B" w:tentative="1">
      <w:start w:val="1"/>
      <w:numFmt w:val="lowerRoman"/>
      <w:lvlText w:val="%3."/>
      <w:lvlJc w:val="right"/>
      <w:pPr>
        <w:ind w:left="1610" w:hanging="400"/>
      </w:pPr>
    </w:lvl>
    <w:lvl w:ilvl="3" w:tplc="0409000F" w:tentative="1">
      <w:start w:val="1"/>
      <w:numFmt w:val="decimal"/>
      <w:lvlText w:val="%4."/>
      <w:lvlJc w:val="left"/>
      <w:pPr>
        <w:ind w:left="2010" w:hanging="400"/>
      </w:pPr>
    </w:lvl>
    <w:lvl w:ilvl="4" w:tplc="04090019" w:tentative="1">
      <w:start w:val="1"/>
      <w:numFmt w:val="upperLetter"/>
      <w:lvlText w:val="%5."/>
      <w:lvlJc w:val="left"/>
      <w:pPr>
        <w:ind w:left="2410" w:hanging="400"/>
      </w:pPr>
    </w:lvl>
    <w:lvl w:ilvl="5" w:tplc="0409001B" w:tentative="1">
      <w:start w:val="1"/>
      <w:numFmt w:val="lowerRoman"/>
      <w:lvlText w:val="%6."/>
      <w:lvlJc w:val="right"/>
      <w:pPr>
        <w:ind w:left="2810" w:hanging="400"/>
      </w:pPr>
    </w:lvl>
    <w:lvl w:ilvl="6" w:tplc="0409000F" w:tentative="1">
      <w:start w:val="1"/>
      <w:numFmt w:val="decimal"/>
      <w:lvlText w:val="%7."/>
      <w:lvlJc w:val="left"/>
      <w:pPr>
        <w:ind w:left="3210" w:hanging="400"/>
      </w:pPr>
    </w:lvl>
    <w:lvl w:ilvl="7" w:tplc="04090019" w:tentative="1">
      <w:start w:val="1"/>
      <w:numFmt w:val="upperLetter"/>
      <w:lvlText w:val="%8."/>
      <w:lvlJc w:val="left"/>
      <w:pPr>
        <w:ind w:left="3610" w:hanging="400"/>
      </w:pPr>
    </w:lvl>
    <w:lvl w:ilvl="8" w:tplc="0409001B" w:tentative="1">
      <w:start w:val="1"/>
      <w:numFmt w:val="lowerRoman"/>
      <w:lvlText w:val="%9."/>
      <w:lvlJc w:val="right"/>
      <w:pPr>
        <w:ind w:left="4010" w:hanging="400"/>
      </w:pPr>
    </w:lvl>
  </w:abstractNum>
  <w:abstractNum w:abstractNumId="6">
    <w:nsid w:val="3CAE100E"/>
    <w:multiLevelType w:val="hybridMultilevel"/>
    <w:tmpl w:val="22207E82"/>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475E1C04"/>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532B567D"/>
    <w:multiLevelType w:val="hybridMultilevel"/>
    <w:tmpl w:val="0B5AFA68"/>
    <w:lvl w:ilvl="0" w:tplc="2CC25A92">
      <w:start w:val="1"/>
      <w:numFmt w:val="decimal"/>
      <w:lvlText w:val="%1."/>
      <w:lvlJc w:val="left"/>
      <w:pPr>
        <w:ind w:left="780" w:hanging="360"/>
      </w:pPr>
      <w:rPr>
        <w:rFonts w:hint="default"/>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9">
    <w:nsid w:val="5B104DC6"/>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0">
    <w:nsid w:val="5B2F6CA6"/>
    <w:multiLevelType w:val="hybridMultilevel"/>
    <w:tmpl w:val="33B4D7B4"/>
    <w:lvl w:ilvl="0" w:tplc="E096554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nsid w:val="5BFC1AD9"/>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60073862"/>
    <w:multiLevelType w:val="hybridMultilevel"/>
    <w:tmpl w:val="9C24C224"/>
    <w:lvl w:ilvl="0" w:tplc="28F83FEA">
      <w:start w:val="1"/>
      <w:numFmt w:val="decimal"/>
      <w:lvlText w:val="(%1)"/>
      <w:lvlJc w:val="left"/>
      <w:pPr>
        <w:ind w:left="616" w:hanging="420"/>
      </w:pPr>
      <w:rPr>
        <w:rFonts w:hint="eastAsia"/>
      </w:rPr>
    </w:lvl>
    <w:lvl w:ilvl="1" w:tplc="04090019" w:tentative="1">
      <w:start w:val="1"/>
      <w:numFmt w:val="lowerLetter"/>
      <w:lvlText w:val="%2)"/>
      <w:lvlJc w:val="left"/>
      <w:pPr>
        <w:ind w:left="1036" w:hanging="420"/>
      </w:pPr>
    </w:lvl>
    <w:lvl w:ilvl="2" w:tplc="0409001B" w:tentative="1">
      <w:start w:val="1"/>
      <w:numFmt w:val="lowerRoman"/>
      <w:lvlText w:val="%3."/>
      <w:lvlJc w:val="right"/>
      <w:pPr>
        <w:ind w:left="1456" w:hanging="420"/>
      </w:pPr>
    </w:lvl>
    <w:lvl w:ilvl="3" w:tplc="0409000F" w:tentative="1">
      <w:start w:val="1"/>
      <w:numFmt w:val="decimal"/>
      <w:lvlText w:val="%4."/>
      <w:lvlJc w:val="left"/>
      <w:pPr>
        <w:ind w:left="1876" w:hanging="420"/>
      </w:pPr>
    </w:lvl>
    <w:lvl w:ilvl="4" w:tplc="04090019" w:tentative="1">
      <w:start w:val="1"/>
      <w:numFmt w:val="lowerLetter"/>
      <w:lvlText w:val="%5)"/>
      <w:lvlJc w:val="left"/>
      <w:pPr>
        <w:ind w:left="2296" w:hanging="420"/>
      </w:pPr>
    </w:lvl>
    <w:lvl w:ilvl="5" w:tplc="0409001B" w:tentative="1">
      <w:start w:val="1"/>
      <w:numFmt w:val="lowerRoman"/>
      <w:lvlText w:val="%6."/>
      <w:lvlJc w:val="right"/>
      <w:pPr>
        <w:ind w:left="2716" w:hanging="420"/>
      </w:pPr>
    </w:lvl>
    <w:lvl w:ilvl="6" w:tplc="0409000F" w:tentative="1">
      <w:start w:val="1"/>
      <w:numFmt w:val="decimal"/>
      <w:lvlText w:val="%7."/>
      <w:lvlJc w:val="left"/>
      <w:pPr>
        <w:ind w:left="3136" w:hanging="420"/>
      </w:pPr>
    </w:lvl>
    <w:lvl w:ilvl="7" w:tplc="04090019" w:tentative="1">
      <w:start w:val="1"/>
      <w:numFmt w:val="lowerLetter"/>
      <w:lvlText w:val="%8)"/>
      <w:lvlJc w:val="left"/>
      <w:pPr>
        <w:ind w:left="3556" w:hanging="420"/>
      </w:pPr>
    </w:lvl>
    <w:lvl w:ilvl="8" w:tplc="0409001B" w:tentative="1">
      <w:start w:val="1"/>
      <w:numFmt w:val="lowerRoman"/>
      <w:lvlText w:val="%9."/>
      <w:lvlJc w:val="right"/>
      <w:pPr>
        <w:ind w:left="3976" w:hanging="420"/>
      </w:pPr>
    </w:lvl>
  </w:abstractNum>
  <w:abstractNum w:abstractNumId="13">
    <w:nsid w:val="60E163E1"/>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4">
    <w:nsid w:val="6A1F66AF"/>
    <w:multiLevelType w:val="hybridMultilevel"/>
    <w:tmpl w:val="21620CBC"/>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5">
    <w:nsid w:val="6E481416"/>
    <w:multiLevelType w:val="hybridMultilevel"/>
    <w:tmpl w:val="B13265F8"/>
    <w:lvl w:ilvl="0" w:tplc="47504FEC">
      <w:start w:val="1"/>
      <w:numFmt w:val="decimal"/>
      <w:lvlText w:val="제%1조"/>
      <w:lvlJc w:val="left"/>
      <w:pPr>
        <w:ind w:left="512" w:hanging="420"/>
      </w:pPr>
      <w:rPr>
        <w:rFonts w:hint="eastAsia"/>
        <w:b/>
        <w:lang w:val="en-US"/>
      </w:rPr>
    </w:lvl>
    <w:lvl w:ilvl="1" w:tplc="04090019" w:tentative="1">
      <w:start w:val="1"/>
      <w:numFmt w:val="lowerLetter"/>
      <w:lvlText w:val="%2)"/>
      <w:lvlJc w:val="left"/>
      <w:pPr>
        <w:ind w:left="932" w:hanging="420"/>
      </w:pPr>
    </w:lvl>
    <w:lvl w:ilvl="2" w:tplc="0409001B" w:tentative="1">
      <w:start w:val="1"/>
      <w:numFmt w:val="lowerRoman"/>
      <w:lvlText w:val="%3."/>
      <w:lvlJc w:val="right"/>
      <w:pPr>
        <w:ind w:left="1352" w:hanging="420"/>
      </w:pPr>
    </w:lvl>
    <w:lvl w:ilvl="3" w:tplc="0409000F" w:tentative="1">
      <w:start w:val="1"/>
      <w:numFmt w:val="decimal"/>
      <w:lvlText w:val="%4."/>
      <w:lvlJc w:val="left"/>
      <w:pPr>
        <w:ind w:left="1772" w:hanging="420"/>
      </w:pPr>
    </w:lvl>
    <w:lvl w:ilvl="4" w:tplc="04090019" w:tentative="1">
      <w:start w:val="1"/>
      <w:numFmt w:val="lowerLetter"/>
      <w:lvlText w:val="%5)"/>
      <w:lvlJc w:val="left"/>
      <w:pPr>
        <w:ind w:left="2192" w:hanging="420"/>
      </w:pPr>
    </w:lvl>
    <w:lvl w:ilvl="5" w:tplc="0409001B" w:tentative="1">
      <w:start w:val="1"/>
      <w:numFmt w:val="lowerRoman"/>
      <w:lvlText w:val="%6."/>
      <w:lvlJc w:val="right"/>
      <w:pPr>
        <w:ind w:left="2612" w:hanging="420"/>
      </w:pPr>
    </w:lvl>
    <w:lvl w:ilvl="6" w:tplc="0409000F" w:tentative="1">
      <w:start w:val="1"/>
      <w:numFmt w:val="decimal"/>
      <w:lvlText w:val="%7."/>
      <w:lvlJc w:val="left"/>
      <w:pPr>
        <w:ind w:left="3032" w:hanging="420"/>
      </w:pPr>
    </w:lvl>
    <w:lvl w:ilvl="7" w:tplc="04090019" w:tentative="1">
      <w:start w:val="1"/>
      <w:numFmt w:val="lowerLetter"/>
      <w:lvlText w:val="%8)"/>
      <w:lvlJc w:val="left"/>
      <w:pPr>
        <w:ind w:left="3452" w:hanging="420"/>
      </w:pPr>
    </w:lvl>
    <w:lvl w:ilvl="8" w:tplc="0409001B" w:tentative="1">
      <w:start w:val="1"/>
      <w:numFmt w:val="lowerRoman"/>
      <w:lvlText w:val="%9."/>
      <w:lvlJc w:val="right"/>
      <w:pPr>
        <w:ind w:left="3872" w:hanging="420"/>
      </w:pPr>
    </w:lvl>
  </w:abstractNum>
  <w:abstractNum w:abstractNumId="16">
    <w:nsid w:val="72EB6131"/>
    <w:multiLevelType w:val="hybridMultilevel"/>
    <w:tmpl w:val="13002D82"/>
    <w:lvl w:ilvl="0" w:tplc="04162E86">
      <w:start w:val="1"/>
      <w:numFmt w:val="decimal"/>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nsid w:val="74DD03F3"/>
    <w:multiLevelType w:val="hybridMultilevel"/>
    <w:tmpl w:val="6E32CC66"/>
    <w:lvl w:ilvl="0" w:tplc="356829BA">
      <w:start w:val="1"/>
      <w:numFmt w:val="decimal"/>
      <w:lvlText w:val="%1."/>
      <w:lvlJc w:val="left"/>
      <w:pPr>
        <w:ind w:left="515" w:hanging="420"/>
      </w:pPr>
      <w:rPr>
        <w:rFonts w:hint="eastAsia"/>
      </w:rPr>
    </w:lvl>
    <w:lvl w:ilvl="1" w:tplc="04090019" w:tentative="1">
      <w:start w:val="1"/>
      <w:numFmt w:val="lowerLetter"/>
      <w:lvlText w:val="%2)"/>
      <w:lvlJc w:val="left"/>
      <w:pPr>
        <w:ind w:left="935" w:hanging="420"/>
      </w:pPr>
    </w:lvl>
    <w:lvl w:ilvl="2" w:tplc="0409001B" w:tentative="1">
      <w:start w:val="1"/>
      <w:numFmt w:val="lowerRoman"/>
      <w:lvlText w:val="%3."/>
      <w:lvlJc w:val="right"/>
      <w:pPr>
        <w:ind w:left="1355" w:hanging="420"/>
      </w:pPr>
    </w:lvl>
    <w:lvl w:ilvl="3" w:tplc="0409000F" w:tentative="1">
      <w:start w:val="1"/>
      <w:numFmt w:val="decimal"/>
      <w:lvlText w:val="%4."/>
      <w:lvlJc w:val="left"/>
      <w:pPr>
        <w:ind w:left="1775" w:hanging="420"/>
      </w:pPr>
    </w:lvl>
    <w:lvl w:ilvl="4" w:tplc="04090019" w:tentative="1">
      <w:start w:val="1"/>
      <w:numFmt w:val="lowerLetter"/>
      <w:lvlText w:val="%5)"/>
      <w:lvlJc w:val="left"/>
      <w:pPr>
        <w:ind w:left="2195" w:hanging="420"/>
      </w:pPr>
    </w:lvl>
    <w:lvl w:ilvl="5" w:tplc="0409001B" w:tentative="1">
      <w:start w:val="1"/>
      <w:numFmt w:val="lowerRoman"/>
      <w:lvlText w:val="%6."/>
      <w:lvlJc w:val="right"/>
      <w:pPr>
        <w:ind w:left="2615" w:hanging="420"/>
      </w:pPr>
    </w:lvl>
    <w:lvl w:ilvl="6" w:tplc="0409000F" w:tentative="1">
      <w:start w:val="1"/>
      <w:numFmt w:val="decimal"/>
      <w:lvlText w:val="%7."/>
      <w:lvlJc w:val="left"/>
      <w:pPr>
        <w:ind w:left="3035" w:hanging="420"/>
      </w:pPr>
    </w:lvl>
    <w:lvl w:ilvl="7" w:tplc="04090019" w:tentative="1">
      <w:start w:val="1"/>
      <w:numFmt w:val="lowerLetter"/>
      <w:lvlText w:val="%8)"/>
      <w:lvlJc w:val="left"/>
      <w:pPr>
        <w:ind w:left="3455" w:hanging="420"/>
      </w:pPr>
    </w:lvl>
    <w:lvl w:ilvl="8" w:tplc="0409001B" w:tentative="1">
      <w:start w:val="1"/>
      <w:numFmt w:val="lowerRoman"/>
      <w:lvlText w:val="%9."/>
      <w:lvlJc w:val="right"/>
      <w:pPr>
        <w:ind w:left="3875" w:hanging="420"/>
      </w:pPr>
    </w:lvl>
  </w:abstractNum>
  <w:abstractNum w:abstractNumId="18">
    <w:nsid w:val="770E2360"/>
    <w:multiLevelType w:val="hybridMultilevel"/>
    <w:tmpl w:val="AFB08D48"/>
    <w:lvl w:ilvl="0" w:tplc="356829B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93B27A3"/>
    <w:multiLevelType w:val="hybridMultilevel"/>
    <w:tmpl w:val="9DFEC01E"/>
    <w:lvl w:ilvl="0" w:tplc="54968FCC">
      <w:start w:val="1"/>
      <w:numFmt w:val="lowerRoman"/>
      <w:lvlText w:val="%1."/>
      <w:lvlJc w:val="left"/>
      <w:pPr>
        <w:ind w:left="1680" w:hanging="420"/>
      </w:pPr>
      <w:rPr>
        <w:rFonts w:hint="eastAsia"/>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num w:numId="1">
    <w:abstractNumId w:val="15"/>
  </w:num>
  <w:num w:numId="2">
    <w:abstractNumId w:val="12"/>
  </w:num>
  <w:num w:numId="3">
    <w:abstractNumId w:val="3"/>
  </w:num>
  <w:num w:numId="4">
    <w:abstractNumId w:val="6"/>
  </w:num>
  <w:num w:numId="5">
    <w:abstractNumId w:val="17"/>
  </w:num>
  <w:num w:numId="6">
    <w:abstractNumId w:val="18"/>
  </w:num>
  <w:num w:numId="7">
    <w:abstractNumId w:val="11"/>
  </w:num>
  <w:num w:numId="8">
    <w:abstractNumId w:val="0"/>
  </w:num>
  <w:num w:numId="9">
    <w:abstractNumId w:val="9"/>
  </w:num>
  <w:num w:numId="10">
    <w:abstractNumId w:val="7"/>
  </w:num>
  <w:num w:numId="11">
    <w:abstractNumId w:val="14"/>
  </w:num>
  <w:num w:numId="12">
    <w:abstractNumId w:val="19"/>
  </w:num>
  <w:num w:numId="13">
    <w:abstractNumId w:val="13"/>
  </w:num>
  <w:num w:numId="14">
    <w:abstractNumId w:val="8"/>
  </w:num>
  <w:num w:numId="15">
    <w:abstractNumId w:val="4"/>
  </w:num>
  <w:num w:numId="16">
    <w:abstractNumId w:val="16"/>
  </w:num>
  <w:num w:numId="17">
    <w:abstractNumId w:val="2"/>
  </w:num>
  <w:num w:numId="18">
    <w:abstractNumId w:val="5"/>
  </w:num>
  <w:num w:numId="19">
    <w:abstractNumId w:val="10"/>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686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B5008"/>
    <w:rsid w:val="00055C6A"/>
    <w:rsid w:val="00065F42"/>
    <w:rsid w:val="000D115A"/>
    <w:rsid w:val="00100135"/>
    <w:rsid w:val="00135A6C"/>
    <w:rsid w:val="00140993"/>
    <w:rsid w:val="0016200D"/>
    <w:rsid w:val="001A612D"/>
    <w:rsid w:val="001F2DDE"/>
    <w:rsid w:val="002068CB"/>
    <w:rsid w:val="00210CC1"/>
    <w:rsid w:val="002404C7"/>
    <w:rsid w:val="00247BC5"/>
    <w:rsid w:val="00264629"/>
    <w:rsid w:val="0028452A"/>
    <w:rsid w:val="002D5985"/>
    <w:rsid w:val="002E45D9"/>
    <w:rsid w:val="002E5535"/>
    <w:rsid w:val="00315BCC"/>
    <w:rsid w:val="0037618A"/>
    <w:rsid w:val="003818EE"/>
    <w:rsid w:val="003C1E6E"/>
    <w:rsid w:val="003C5455"/>
    <w:rsid w:val="003D3255"/>
    <w:rsid w:val="00444F1B"/>
    <w:rsid w:val="00470D1E"/>
    <w:rsid w:val="004A6A46"/>
    <w:rsid w:val="004B2981"/>
    <w:rsid w:val="004B30A1"/>
    <w:rsid w:val="004C5FF1"/>
    <w:rsid w:val="004E2A9C"/>
    <w:rsid w:val="00525052"/>
    <w:rsid w:val="00532BD0"/>
    <w:rsid w:val="0053491D"/>
    <w:rsid w:val="0055642B"/>
    <w:rsid w:val="0056283F"/>
    <w:rsid w:val="00587FEA"/>
    <w:rsid w:val="00591B19"/>
    <w:rsid w:val="005A3DA9"/>
    <w:rsid w:val="005E0602"/>
    <w:rsid w:val="005F5FEA"/>
    <w:rsid w:val="00610641"/>
    <w:rsid w:val="00615981"/>
    <w:rsid w:val="00615EC6"/>
    <w:rsid w:val="00627FF5"/>
    <w:rsid w:val="0063360D"/>
    <w:rsid w:val="00635DAE"/>
    <w:rsid w:val="006E2B22"/>
    <w:rsid w:val="006F037F"/>
    <w:rsid w:val="00712549"/>
    <w:rsid w:val="007428D2"/>
    <w:rsid w:val="00754EB6"/>
    <w:rsid w:val="00763D92"/>
    <w:rsid w:val="00793DEF"/>
    <w:rsid w:val="007A34FC"/>
    <w:rsid w:val="007B1D46"/>
    <w:rsid w:val="007B625E"/>
    <w:rsid w:val="0080100B"/>
    <w:rsid w:val="008026B7"/>
    <w:rsid w:val="00820E98"/>
    <w:rsid w:val="00844C62"/>
    <w:rsid w:val="00895A68"/>
    <w:rsid w:val="00896D67"/>
    <w:rsid w:val="008D50EF"/>
    <w:rsid w:val="00907432"/>
    <w:rsid w:val="00913DA6"/>
    <w:rsid w:val="00991600"/>
    <w:rsid w:val="009A6824"/>
    <w:rsid w:val="009B0986"/>
    <w:rsid w:val="009C24AE"/>
    <w:rsid w:val="009D0640"/>
    <w:rsid w:val="009D3790"/>
    <w:rsid w:val="00A14377"/>
    <w:rsid w:val="00A14F38"/>
    <w:rsid w:val="00A17997"/>
    <w:rsid w:val="00A2090D"/>
    <w:rsid w:val="00A25ACC"/>
    <w:rsid w:val="00A26F0D"/>
    <w:rsid w:val="00A32144"/>
    <w:rsid w:val="00A41C29"/>
    <w:rsid w:val="00A56F65"/>
    <w:rsid w:val="00A704C8"/>
    <w:rsid w:val="00A7085D"/>
    <w:rsid w:val="00A80DD8"/>
    <w:rsid w:val="00A849DB"/>
    <w:rsid w:val="00A945CB"/>
    <w:rsid w:val="00AA03A7"/>
    <w:rsid w:val="00AA3F7C"/>
    <w:rsid w:val="00AD2A3D"/>
    <w:rsid w:val="00AF07C7"/>
    <w:rsid w:val="00B02757"/>
    <w:rsid w:val="00B1249E"/>
    <w:rsid w:val="00B17270"/>
    <w:rsid w:val="00B86A82"/>
    <w:rsid w:val="00B87E3D"/>
    <w:rsid w:val="00BB1357"/>
    <w:rsid w:val="00BB6FFC"/>
    <w:rsid w:val="00BC67B4"/>
    <w:rsid w:val="00BD2273"/>
    <w:rsid w:val="00C278F4"/>
    <w:rsid w:val="00C32E2B"/>
    <w:rsid w:val="00C810C6"/>
    <w:rsid w:val="00CC1207"/>
    <w:rsid w:val="00CC5D08"/>
    <w:rsid w:val="00CD4421"/>
    <w:rsid w:val="00CD5ACF"/>
    <w:rsid w:val="00D122A0"/>
    <w:rsid w:val="00D16B85"/>
    <w:rsid w:val="00D420AB"/>
    <w:rsid w:val="00D44DCD"/>
    <w:rsid w:val="00DB5008"/>
    <w:rsid w:val="00DC175C"/>
    <w:rsid w:val="00DC3A61"/>
    <w:rsid w:val="00DC50B8"/>
    <w:rsid w:val="00DD0992"/>
    <w:rsid w:val="00E00A22"/>
    <w:rsid w:val="00E05766"/>
    <w:rsid w:val="00E75E1F"/>
    <w:rsid w:val="00E7653A"/>
    <w:rsid w:val="00E9758D"/>
    <w:rsid w:val="00F078AB"/>
    <w:rsid w:val="00F6633C"/>
    <w:rsid w:val="00F74269"/>
    <w:rsid w:val="00F77275"/>
    <w:rsid w:val="00F916FD"/>
    <w:rsid w:val="00FA333E"/>
    <w:rsid w:val="00FA547E"/>
    <w:rsid w:val="00FB2151"/>
    <w:rsid w:val="00FE6A22"/>
    <w:rsid w:val="00FF28E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008"/>
    <w:pPr>
      <w:widowControl w:val="0"/>
      <w:jc w:val="both"/>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50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DB5008"/>
    <w:pPr>
      <w:ind w:firstLineChars="200" w:firstLine="420"/>
    </w:pPr>
  </w:style>
  <w:style w:type="paragraph" w:styleId="a5">
    <w:name w:val="header"/>
    <w:basedOn w:val="a"/>
    <w:link w:val="Char"/>
    <w:uiPriority w:val="99"/>
    <w:semiHidden/>
    <w:unhideWhenUsed/>
    <w:rsid w:val="00C278F4"/>
    <w:pPr>
      <w:tabs>
        <w:tab w:val="center" w:pos="4513"/>
        <w:tab w:val="right" w:pos="9026"/>
      </w:tabs>
      <w:snapToGrid w:val="0"/>
    </w:pPr>
  </w:style>
  <w:style w:type="character" w:customStyle="1" w:styleId="Char">
    <w:name w:val="머리글 Char"/>
    <w:basedOn w:val="a0"/>
    <w:link w:val="a5"/>
    <w:uiPriority w:val="99"/>
    <w:semiHidden/>
    <w:rsid w:val="00C278F4"/>
    <w:rPr>
      <w:sz w:val="21"/>
      <w:lang w:eastAsia="zh-CN"/>
    </w:rPr>
  </w:style>
  <w:style w:type="paragraph" w:styleId="a6">
    <w:name w:val="footer"/>
    <w:basedOn w:val="a"/>
    <w:link w:val="Char0"/>
    <w:uiPriority w:val="99"/>
    <w:unhideWhenUsed/>
    <w:rsid w:val="00C278F4"/>
    <w:pPr>
      <w:tabs>
        <w:tab w:val="center" w:pos="4513"/>
        <w:tab w:val="right" w:pos="9026"/>
      </w:tabs>
      <w:snapToGrid w:val="0"/>
    </w:pPr>
  </w:style>
  <w:style w:type="character" w:customStyle="1" w:styleId="Char0">
    <w:name w:val="바닥글 Char"/>
    <w:basedOn w:val="a0"/>
    <w:link w:val="a6"/>
    <w:uiPriority w:val="99"/>
    <w:rsid w:val="00C278F4"/>
    <w:rPr>
      <w:sz w:val="21"/>
      <w:lang w:eastAsia="zh-CN"/>
    </w:rPr>
  </w:style>
  <w:style w:type="character" w:styleId="a7">
    <w:name w:val="Hyperlink"/>
    <w:basedOn w:val="a0"/>
    <w:uiPriority w:val="99"/>
    <w:unhideWhenUsed/>
    <w:rsid w:val="00444F1B"/>
    <w:rPr>
      <w:color w:val="0000FF" w:themeColor="hyperlink"/>
      <w:u w:val="single"/>
    </w:rPr>
  </w:style>
  <w:style w:type="character" w:customStyle="1" w:styleId="VIsualTranMateMatching">
    <w:name w:val="VIsualTranMateMatching"/>
    <w:basedOn w:val="a0"/>
    <w:rsid w:val="009C24AE"/>
    <w:rPr>
      <w:rFonts w:ascii="Arial" w:hAnsi="Arial" w:cs="Arial"/>
      <w:b/>
      <w:dstrike w:val="0"/>
      <w:vanish/>
      <w:color w:val="FF9900"/>
      <w:sz w:val="16"/>
      <w:szCs w:val="40"/>
      <w:bdr w:val="none" w:sz="0" w:space="0" w:color="auto"/>
      <w:shd w:val="clear" w:color="auto" w:fill="auto"/>
      <w:vertAlign w:val="subscript"/>
    </w:rPr>
  </w:style>
  <w:style w:type="paragraph" w:styleId="a8">
    <w:name w:val="Balloon Text"/>
    <w:basedOn w:val="a"/>
    <w:link w:val="Char1"/>
    <w:uiPriority w:val="99"/>
    <w:semiHidden/>
    <w:unhideWhenUsed/>
    <w:rsid w:val="009C24AE"/>
    <w:rPr>
      <w:rFonts w:ascii="Cambria" w:eastAsia="맑은 고딕" w:hAnsi="Cambria" w:cs="Times New Roman"/>
      <w:sz w:val="18"/>
      <w:szCs w:val="18"/>
    </w:rPr>
  </w:style>
  <w:style w:type="character" w:customStyle="1" w:styleId="Char1">
    <w:name w:val="풍선 도움말 텍스트 Char"/>
    <w:basedOn w:val="a0"/>
    <w:link w:val="a8"/>
    <w:uiPriority w:val="99"/>
    <w:semiHidden/>
    <w:rsid w:val="009C24AE"/>
    <w:rPr>
      <w:rFonts w:ascii="Cambria" w:eastAsia="맑은 고딕" w:hAnsi="Cambria" w:cs="Times New Roman"/>
      <w:sz w:val="18"/>
      <w:szCs w:val="1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afe.gov.cn/wps/wcm/connect/f81164004d2420b287db8fe39639345e/&#36164;&#26412;&#39033;&#30446;&#36134;&#25143;&#36164;&#37329;&#25903;&#20184;&#21629;&#20196;&#20989;.pdf?MOD=AJPERES&amp;CACHEID=f81164004d2420b287db8fe39639345e" TargetMode="External"/><Relationship Id="rId3" Type="http://schemas.openxmlformats.org/officeDocument/2006/relationships/settings" Target="settings.xml"/><Relationship Id="rId7" Type="http://schemas.openxmlformats.org/officeDocument/2006/relationships/hyperlink" Target="http://www.safe.gov.cn/wps/wcm/connect/f81164004d2420b287db8fe39639345e/&#36164;&#26412;&#39033;&#30446;&#36134;&#25143;&#36164;&#37329;&#25903;&#20184;&#21629;&#20196;&#20989;.pdf?MOD=AJPERES&amp;CACHEID=f81164004d2420b287db8fe39639345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TotalTime>
  <Pages>6</Pages>
  <Words>1487</Words>
  <Characters>8481</Characters>
  <Application>Microsoft Office Word</Application>
  <DocSecurity>0</DocSecurity>
  <Lines>70</Lines>
  <Paragraphs>19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19</cp:revision>
  <dcterms:created xsi:type="dcterms:W3CDTF">2016-01-15T03:23:00Z</dcterms:created>
  <dcterms:modified xsi:type="dcterms:W3CDTF">2016-08-09T01:36:00Z</dcterms:modified>
</cp:coreProperties>
</file>